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snapToGrid w:val="0"/>
        <w:spacing w:after="0"/>
        <w:rPr>
          <w:rFonts w:ascii="Arial" w:hAnsi="Arial" w:cs="Arial"/>
          <w:b/>
          <w:bCs/>
          <w:sz w:val="22"/>
          <w:lang w:val="en-GB"/>
        </w:rPr>
      </w:pPr>
      <w:r>
        <w:rPr>
          <w:rFonts w:hint="eastAsia" w:ascii="Arial" w:hAnsi="Arial" w:cs="Arial"/>
          <w:b/>
          <w:bCs/>
          <w:sz w:val="22"/>
          <w:lang w:val="en-GB"/>
        </w:rPr>
        <w:t>3GPP TSG RAN WG1</w:t>
      </w:r>
      <w:r>
        <w:rPr>
          <w:rFonts w:hint="eastAsia" w:ascii="Arial" w:hAnsi="Arial" w:cs="Arial"/>
          <w:b/>
          <w:bCs/>
          <w:sz w:val="22"/>
        </w:rPr>
        <w:t xml:space="preserve"> </w:t>
      </w:r>
      <w:r>
        <w:rPr>
          <w:rFonts w:hint="eastAsia" w:ascii="Arial" w:hAnsi="Arial" w:cs="Arial"/>
          <w:b/>
          <w:bCs/>
          <w:sz w:val="22"/>
          <w:lang w:val="en-GB"/>
        </w:rPr>
        <w:t>#96</w:t>
      </w:r>
      <w:r>
        <w:rPr>
          <w:rFonts w:ascii="Arial" w:hAnsi="Arial" w:cs="Arial"/>
          <w:b/>
          <w:bCs/>
          <w:sz w:val="22"/>
          <w:lang w:val="en-GB"/>
        </w:rPr>
        <w:t xml:space="preserve">   </w:t>
      </w:r>
      <w:bookmarkStart w:id="0" w:name="OLE_LINK3"/>
      <w:r>
        <w:rPr>
          <w:rFonts w:hint="eastAsia" w:ascii="Arial" w:hAnsi="Arial" w:cs="Arial"/>
          <w:b/>
          <w:bCs/>
          <w:sz w:val="22"/>
          <w:lang w:val="en-GB"/>
        </w:rPr>
        <w:t xml:space="preserve">          </w:t>
      </w:r>
      <w:r>
        <w:rPr>
          <w:rFonts w:hint="eastAsia" w:ascii="Arial" w:hAnsi="Arial" w:cs="Arial"/>
          <w:b/>
          <w:bCs/>
          <w:sz w:val="22"/>
        </w:rPr>
        <w:t xml:space="preserve">          </w:t>
      </w:r>
      <w:bookmarkEnd w:id="0"/>
      <w:r>
        <w:rPr>
          <w:rFonts w:hint="eastAsia" w:ascii="Arial" w:hAnsi="Arial" w:cs="Arial"/>
          <w:b/>
          <w:bCs/>
          <w:sz w:val="22"/>
        </w:rPr>
        <w:t xml:space="preserve">      </w:t>
      </w:r>
      <w:r>
        <w:rPr>
          <w:rFonts w:hint="eastAsia" w:ascii="Arial" w:hAnsi="Arial" w:cs="Arial"/>
          <w:b/>
          <w:bCs/>
          <w:sz w:val="22"/>
        </w:rPr>
        <w:tab/>
      </w:r>
      <w:r>
        <w:rPr>
          <w:rFonts w:hint="eastAsia" w:ascii="Arial" w:hAnsi="Arial" w:cs="Arial"/>
          <w:b/>
          <w:bCs/>
          <w:sz w:val="22"/>
        </w:rPr>
        <w:tab/>
      </w:r>
      <w:r>
        <w:rPr>
          <w:rFonts w:hint="eastAsia" w:ascii="Arial" w:hAnsi="Arial" w:cs="Arial"/>
          <w:b/>
          <w:bCs/>
          <w:sz w:val="22"/>
        </w:rPr>
        <w:tab/>
      </w:r>
      <w:r>
        <w:rPr>
          <w:rFonts w:hint="eastAsia" w:ascii="Arial" w:hAnsi="Arial" w:cs="Arial"/>
          <w:b/>
          <w:bCs/>
          <w:sz w:val="22"/>
        </w:rPr>
        <w:tab/>
      </w:r>
      <w:r>
        <w:rPr>
          <w:rFonts w:hint="eastAsia" w:ascii="Arial" w:hAnsi="Arial" w:cs="Arial"/>
          <w:b/>
          <w:bCs/>
          <w:sz w:val="22"/>
        </w:rPr>
        <w:t xml:space="preserve">     </w:t>
      </w:r>
      <w:bookmarkStart w:id="5" w:name="_GoBack"/>
      <w:bookmarkEnd w:id="5"/>
      <w:r>
        <w:rPr>
          <w:rFonts w:hint="eastAsia" w:ascii="Arial" w:hAnsi="Arial" w:cs="Arial"/>
          <w:b/>
          <w:bCs/>
          <w:sz w:val="22"/>
        </w:rPr>
        <w:t>R1-1901779</w:t>
      </w:r>
    </w:p>
    <w:p>
      <w:pPr>
        <w:widowControl w:val="0"/>
        <w:autoSpaceDE w:val="0"/>
        <w:autoSpaceDN w:val="0"/>
        <w:snapToGrid w:val="0"/>
        <w:spacing w:after="156" w:afterLines="50"/>
        <w:rPr>
          <w:rFonts w:ascii="Arial" w:hAnsi="Arial" w:cs="Arial"/>
          <w:b/>
          <w:bCs/>
          <w:sz w:val="22"/>
          <w:lang w:val="en-GB"/>
        </w:rPr>
      </w:pPr>
      <w:r>
        <w:rPr>
          <w:rFonts w:hint="eastAsia" w:ascii="Arial" w:hAnsi="Arial" w:cs="Arial"/>
          <w:b/>
          <w:bCs/>
          <w:sz w:val="22"/>
          <w:lang w:val="en-GB"/>
        </w:rPr>
        <w:t>Athens, Greece, 25</w:t>
      </w:r>
      <w:r>
        <w:rPr>
          <w:rFonts w:hint="eastAsia" w:ascii="Arial" w:hAnsi="Arial" w:cs="Arial"/>
          <w:b/>
          <w:bCs/>
          <w:sz w:val="22"/>
          <w:vertAlign w:val="superscript"/>
          <w:lang w:val="en-GB"/>
        </w:rPr>
        <w:t>th</w:t>
      </w:r>
      <w:r>
        <w:rPr>
          <w:rFonts w:hint="eastAsia" w:ascii="Arial" w:hAnsi="Arial" w:cs="Arial"/>
          <w:b/>
          <w:bCs/>
          <w:sz w:val="22"/>
          <w:lang w:val="en-GB"/>
        </w:rPr>
        <w:t xml:space="preserve"> February</w:t>
      </w:r>
      <w:r>
        <w:rPr>
          <w:rFonts w:ascii="Arial" w:hAnsi="Arial" w:cs="Arial"/>
          <w:b/>
          <w:bCs/>
          <w:sz w:val="22"/>
          <w:lang w:val="en-GB"/>
        </w:rPr>
        <w:t xml:space="preserve"> </w:t>
      </w:r>
      <w:r>
        <w:rPr>
          <w:rFonts w:hint="eastAsia" w:ascii="Arial" w:hAnsi="Arial" w:cs="Arial"/>
          <w:b/>
          <w:bCs/>
          <w:sz w:val="22"/>
          <w:lang w:val="en-GB"/>
        </w:rPr>
        <w:t>- 1</w:t>
      </w:r>
      <w:r>
        <w:rPr>
          <w:rFonts w:hint="eastAsia" w:ascii="Arial" w:hAnsi="Arial" w:cs="Arial"/>
          <w:b/>
          <w:bCs/>
          <w:sz w:val="22"/>
          <w:vertAlign w:val="superscript"/>
          <w:lang w:val="en-GB"/>
        </w:rPr>
        <w:t>st</w:t>
      </w:r>
      <w:r>
        <w:rPr>
          <w:rFonts w:hint="eastAsia" w:ascii="Arial" w:hAnsi="Arial" w:cs="Arial"/>
          <w:b/>
          <w:bCs/>
          <w:sz w:val="22"/>
          <w:lang w:val="en-GB"/>
        </w:rPr>
        <w:t xml:space="preserve"> March, 2019</w:t>
      </w:r>
    </w:p>
    <w:p>
      <w:pPr>
        <w:widowControl w:val="0"/>
        <w:autoSpaceDE w:val="0"/>
        <w:autoSpaceDN w:val="0"/>
        <w:snapToGrid w:val="0"/>
        <w:spacing w:before="120" w:after="0"/>
        <w:rPr>
          <w:rFonts w:ascii="Arial" w:hAnsi="Arial" w:cs="Arial"/>
          <w:b/>
          <w:bCs/>
          <w:szCs w:val="20"/>
          <w:lang w:val="en-GB"/>
        </w:rPr>
      </w:pPr>
      <w:r>
        <w:rPr>
          <w:rFonts w:ascii="Arial" w:hAnsi="Arial" w:cs="Arial"/>
          <w:b/>
          <w:bCs/>
          <w:szCs w:val="20"/>
          <w:lang w:val="en-GB"/>
        </w:rPr>
        <w:t xml:space="preserve">Source: </w:t>
      </w:r>
      <w:r>
        <w:rPr>
          <w:rFonts w:hint="eastAsia" w:ascii="Arial" w:hAnsi="Arial" w:cs="Arial"/>
          <w:b/>
          <w:bCs/>
          <w:szCs w:val="20"/>
          <w:lang w:val="en-GB"/>
        </w:rPr>
        <w:t xml:space="preserve">   </w:t>
      </w:r>
      <w:r>
        <w:rPr>
          <w:rFonts w:hint="eastAsia" w:ascii="Arial" w:hAnsi="Arial" w:cs="Arial"/>
          <w:b/>
          <w:bCs/>
          <w:szCs w:val="20"/>
        </w:rPr>
        <w:t xml:space="preserve">    </w:t>
      </w:r>
      <w:r>
        <w:rPr>
          <w:rFonts w:hint="eastAsia" w:ascii="Arial" w:hAnsi="Arial" w:cs="Arial"/>
          <w:b/>
          <w:bCs/>
          <w:szCs w:val="20"/>
        </w:rPr>
        <w:tab/>
      </w:r>
      <w:r>
        <w:rPr>
          <w:rFonts w:ascii="Arial" w:hAnsi="Arial" w:cs="Arial"/>
          <w:b/>
          <w:bCs/>
          <w:szCs w:val="20"/>
          <w:lang w:val="en-GB"/>
        </w:rPr>
        <w:t>ZTE</w:t>
      </w:r>
    </w:p>
    <w:p>
      <w:pPr>
        <w:widowControl w:val="0"/>
        <w:autoSpaceDE w:val="0"/>
        <w:autoSpaceDN w:val="0"/>
        <w:snapToGrid w:val="0"/>
        <w:spacing w:after="0"/>
        <w:ind w:left="1544" w:hanging="1544" w:hangingChars="769"/>
        <w:rPr>
          <w:rFonts w:ascii="Arial" w:hAnsi="Arial" w:cs="Arial"/>
          <w:b/>
          <w:bCs/>
          <w:szCs w:val="20"/>
          <w:lang w:val="en-GB"/>
        </w:rPr>
      </w:pPr>
      <w:r>
        <w:rPr>
          <w:rFonts w:ascii="Arial" w:hAnsi="Arial" w:cs="Arial"/>
          <w:b/>
          <w:bCs/>
          <w:szCs w:val="20"/>
          <w:lang w:val="en-GB"/>
        </w:rPr>
        <w:t xml:space="preserve">Title: </w:t>
      </w:r>
      <w:r>
        <w:rPr>
          <w:rFonts w:hint="eastAsia" w:ascii="Arial" w:hAnsi="Arial" w:cs="Arial"/>
          <w:b/>
          <w:bCs/>
          <w:szCs w:val="20"/>
          <w:lang w:val="en-GB"/>
        </w:rPr>
        <w:t xml:space="preserve">        </w:t>
      </w:r>
      <w:r>
        <w:rPr>
          <w:rFonts w:hint="eastAsia" w:ascii="Arial" w:hAnsi="Arial" w:cs="Arial"/>
          <w:b/>
          <w:bCs/>
          <w:szCs w:val="20"/>
        </w:rPr>
        <w:tab/>
      </w:r>
      <w:r>
        <w:rPr>
          <w:rFonts w:hint="eastAsia" w:ascii="Arial" w:hAnsi="Arial" w:cs="Arial"/>
          <w:b/>
          <w:bCs/>
          <w:szCs w:val="20"/>
        </w:rPr>
        <w:tab/>
      </w:r>
      <w:r>
        <w:rPr>
          <w:rFonts w:hint="eastAsia" w:ascii="Arial" w:hAnsi="Arial" w:cs="Arial"/>
          <w:b/>
          <w:bCs/>
          <w:szCs w:val="20"/>
        </w:rPr>
        <w:t>Discussion on NR Mobility Enhancements in Physical Layer</w:t>
      </w:r>
    </w:p>
    <w:p>
      <w:pPr>
        <w:widowControl w:val="0"/>
        <w:autoSpaceDE w:val="0"/>
        <w:autoSpaceDN w:val="0"/>
        <w:snapToGrid w:val="0"/>
        <w:spacing w:after="0"/>
        <w:rPr>
          <w:rFonts w:ascii="Arial" w:hAnsi="Arial" w:cs="Arial"/>
          <w:b/>
          <w:bCs/>
          <w:szCs w:val="20"/>
          <w:lang w:val="en-GB"/>
        </w:rPr>
      </w:pPr>
      <w:r>
        <w:rPr>
          <w:rFonts w:ascii="Arial" w:hAnsi="Arial" w:cs="Arial"/>
          <w:b/>
          <w:bCs/>
          <w:szCs w:val="20"/>
          <w:lang w:val="en-GB"/>
        </w:rPr>
        <w:t>Agenda Item:</w:t>
      </w:r>
      <w:bookmarkStart w:id="1" w:name="Source"/>
      <w:bookmarkEnd w:id="1"/>
      <w:r>
        <w:rPr>
          <w:rFonts w:hint="eastAsia" w:ascii="Arial" w:hAnsi="Arial" w:cs="Arial"/>
          <w:b/>
          <w:bCs/>
          <w:szCs w:val="20"/>
          <w:lang w:val="en-GB"/>
        </w:rPr>
        <w:t xml:space="preserve">  </w:t>
      </w:r>
      <w:r>
        <w:rPr>
          <w:rFonts w:hint="eastAsia" w:ascii="Arial" w:hAnsi="Arial" w:cs="Arial"/>
          <w:b/>
          <w:bCs/>
          <w:szCs w:val="20"/>
        </w:rPr>
        <w:tab/>
      </w:r>
      <w:r>
        <w:rPr>
          <w:rFonts w:hint="eastAsia" w:ascii="Arial" w:hAnsi="Arial" w:cs="Arial"/>
          <w:b/>
          <w:bCs/>
          <w:szCs w:val="20"/>
        </w:rPr>
        <w:t>7.2.12.1</w:t>
      </w:r>
    </w:p>
    <w:p>
      <w:pPr>
        <w:snapToGrid w:val="0"/>
        <w:spacing w:after="0"/>
        <w:rPr>
          <w:rFonts w:ascii="Arial" w:hAnsi="Arial" w:cs="Arial"/>
          <w:b/>
          <w:szCs w:val="20"/>
        </w:rPr>
      </w:pPr>
      <w:r>
        <w:rPr>
          <w:rFonts w:ascii="Arial" w:hAnsi="Arial" w:cs="Arial"/>
          <w:b/>
          <w:szCs w:val="20"/>
        </w:rPr>
        <w:t>Document for:</w:t>
      </w:r>
      <w:bookmarkStart w:id="2" w:name="DocumentFor"/>
      <w:bookmarkEnd w:id="2"/>
      <w:r>
        <w:rPr>
          <w:rFonts w:ascii="Arial" w:hAnsi="Arial" w:cs="Arial"/>
          <w:b/>
          <w:szCs w:val="20"/>
        </w:rPr>
        <w:t xml:space="preserve"> </w:t>
      </w:r>
      <w:r>
        <w:rPr>
          <w:rFonts w:hint="eastAsia" w:ascii="Arial" w:hAnsi="Arial" w:cs="Arial"/>
          <w:b/>
          <w:szCs w:val="20"/>
        </w:rPr>
        <w:tab/>
      </w:r>
      <w:r>
        <w:rPr>
          <w:rFonts w:ascii="Arial" w:hAnsi="Arial" w:cs="Arial"/>
          <w:b/>
          <w:szCs w:val="20"/>
        </w:rPr>
        <w:t>Discussion and Decision</w:t>
      </w:r>
    </w:p>
    <w:p>
      <w:pPr>
        <w:pStyle w:val="2"/>
        <w:snapToGrid w:val="0"/>
        <w:spacing w:before="120" w:after="120" w:line="240" w:lineRule="auto"/>
        <w:ind w:left="431" w:hanging="431"/>
        <w:rPr>
          <w:sz w:val="28"/>
          <w:szCs w:val="28"/>
        </w:rPr>
      </w:pPr>
      <w:r>
        <w:rPr>
          <w:sz w:val="28"/>
          <w:szCs w:val="28"/>
        </w:rPr>
        <w:t>Introduction</w:t>
      </w:r>
    </w:p>
    <w:p>
      <w:pPr>
        <w:adjustRightInd/>
        <w:snapToGrid w:val="0"/>
        <w:rPr>
          <w:szCs w:val="20"/>
        </w:rPr>
      </w:pPr>
      <w:r>
        <w:rPr>
          <w:rFonts w:hint="eastAsia"/>
          <w:szCs w:val="20"/>
        </w:rPr>
        <w:t>In RAN#80, a new WI was approved to reduce the interruption time during HO/SCG change and improve HO reliability[1]. In this contri</w:t>
      </w:r>
      <w:r>
        <w:rPr>
          <w:szCs w:val="20"/>
        </w:rPr>
        <w:t>bu</w:t>
      </w:r>
      <w:r>
        <w:rPr>
          <w:rFonts w:hint="eastAsia"/>
          <w:szCs w:val="20"/>
        </w:rPr>
        <w:t>tion, we discuss some general issues on enhanced mobility management in physical layer.</w:t>
      </w:r>
      <w:r>
        <w:rPr>
          <w:szCs w:val="20"/>
        </w:rPr>
        <w:t xml:space="preserve"> We mainly put focus on the discussion on the following three solutions described in the WID[1] for interruption time reduction during HO/SCG change.</w:t>
      </w:r>
    </w:p>
    <w:p>
      <w:pPr>
        <w:pStyle w:val="22"/>
        <w:numPr>
          <w:ilvl w:val="0"/>
          <w:numId w:val="2"/>
        </w:numPr>
        <w:overflowPunct w:val="0"/>
        <w:autoSpaceDE w:val="0"/>
        <w:autoSpaceDN w:val="0"/>
        <w:spacing w:after="180"/>
        <w:jc w:val="left"/>
        <w:textAlignment w:val="baseline"/>
        <w:rPr>
          <w:lang w:eastAsia="ja-JP"/>
        </w:rPr>
      </w:pPr>
      <w:r>
        <w:rPr>
          <w:lang w:eastAsia="ja-JP"/>
        </w:rPr>
        <w:t xml:space="preserve">To study solution(s) to reduce interruption time during HO/SCG change focusing on the following identified solutions but not limited. </w:t>
      </w:r>
    </w:p>
    <w:p>
      <w:pPr>
        <w:pStyle w:val="22"/>
        <w:numPr>
          <w:ilvl w:val="1"/>
          <w:numId w:val="2"/>
        </w:numPr>
        <w:overflowPunct w:val="0"/>
        <w:autoSpaceDE w:val="0"/>
        <w:autoSpaceDN w:val="0"/>
        <w:spacing w:after="180"/>
        <w:jc w:val="left"/>
        <w:textAlignment w:val="baseline"/>
        <w:rPr>
          <w:lang w:eastAsia="ja-JP"/>
        </w:rPr>
      </w:pPr>
      <w:r>
        <w:rPr>
          <w:lang w:eastAsia="ja-JP"/>
        </w:rPr>
        <w:t xml:space="preserve">Handover/SCG change with simultaneous connectivity with source cell and target cell. </w:t>
      </w:r>
    </w:p>
    <w:p>
      <w:pPr>
        <w:pStyle w:val="22"/>
        <w:numPr>
          <w:ilvl w:val="1"/>
          <w:numId w:val="2"/>
        </w:numPr>
        <w:overflowPunct w:val="0"/>
        <w:autoSpaceDE w:val="0"/>
        <w:autoSpaceDN w:val="0"/>
        <w:spacing w:after="180"/>
        <w:jc w:val="left"/>
        <w:textAlignment w:val="baseline"/>
        <w:rPr>
          <w:lang w:eastAsia="ja-JP"/>
        </w:rPr>
      </w:pPr>
      <w:r>
        <w:rPr>
          <w:lang w:eastAsia="ja-JP"/>
        </w:rPr>
        <w:t xml:space="preserve">Make-before-break </w:t>
      </w:r>
    </w:p>
    <w:p>
      <w:pPr>
        <w:pStyle w:val="22"/>
        <w:numPr>
          <w:ilvl w:val="1"/>
          <w:numId w:val="2"/>
        </w:numPr>
        <w:overflowPunct w:val="0"/>
        <w:autoSpaceDE w:val="0"/>
        <w:autoSpaceDN w:val="0"/>
        <w:spacing w:after="180"/>
        <w:jc w:val="left"/>
        <w:textAlignment w:val="baseline"/>
        <w:rPr>
          <w:lang w:eastAsia="ja-JP"/>
        </w:rPr>
      </w:pPr>
      <w:r>
        <w:rPr>
          <w:rFonts w:cs="Calibri"/>
          <w:bCs/>
        </w:rPr>
        <w:t xml:space="preserve">RACH-less handover </w:t>
      </w:r>
    </w:p>
    <w:p>
      <w:pPr>
        <w:pStyle w:val="22"/>
        <w:numPr>
          <w:ilvl w:val="0"/>
          <w:numId w:val="2"/>
        </w:numPr>
        <w:rPr>
          <w:rFonts w:cs="Calibri"/>
        </w:rPr>
      </w:pPr>
      <w:r>
        <w:rPr>
          <w:rFonts w:cs="Calibri"/>
        </w:rPr>
        <w:t xml:space="preserve">Note: LTE mobility enhancements should be used for baseline for fast handover failure recovery, Make-before-break and RACH-less handover. </w:t>
      </w:r>
    </w:p>
    <w:p>
      <w:pPr>
        <w:pStyle w:val="2"/>
        <w:snapToGrid w:val="0"/>
        <w:spacing w:before="120" w:after="120" w:line="240" w:lineRule="auto"/>
        <w:ind w:left="431" w:hanging="431"/>
        <w:rPr>
          <w:sz w:val="28"/>
          <w:szCs w:val="28"/>
          <w:lang w:val="en-US" w:eastAsia="zh-CN"/>
        </w:rPr>
      </w:pPr>
      <w:r>
        <w:rPr>
          <w:rFonts w:hint="eastAsia"/>
          <w:sz w:val="28"/>
          <w:szCs w:val="28"/>
          <w:lang w:val="en-US" w:eastAsia="zh-CN"/>
        </w:rPr>
        <w:t>Discussion</w:t>
      </w:r>
    </w:p>
    <w:p>
      <w:pPr>
        <w:adjustRightInd/>
        <w:snapToGrid w:val="0"/>
        <w:rPr>
          <w:b/>
          <w:bCs/>
          <w:i/>
          <w:iCs/>
          <w:szCs w:val="20"/>
        </w:rPr>
      </w:pPr>
      <w:r>
        <w:rPr>
          <w:rFonts w:hint="eastAsia"/>
          <w:szCs w:val="20"/>
        </w:rPr>
        <w:t xml:space="preserve">It is proposed that one of baseline solutions for NR mobility enhancement is RACH-less handover in LTE. In RACH-less handover, after receiving HO command, UE can transmit UL data to target cell based on the blind scheduling of target cell or UL grant carried in the HO command without transmitting preamble first. It can save the time for waiting for </w:t>
      </w:r>
      <w:bookmarkStart w:id="3" w:name="OLE_LINK1"/>
      <w:r>
        <w:rPr>
          <w:rFonts w:hint="eastAsia"/>
          <w:szCs w:val="20"/>
        </w:rPr>
        <w:t>available</w:t>
      </w:r>
      <w:bookmarkEnd w:id="3"/>
      <w:r>
        <w:rPr>
          <w:rFonts w:hint="eastAsia"/>
          <w:szCs w:val="20"/>
        </w:rPr>
        <w:t xml:space="preserve"> PRACH resource and for initial access procedure such that the interruption time can be reduced. The other prominent merit for RACH-less handover is it can be supported by UE without </w:t>
      </w:r>
      <w:r>
        <w:rPr>
          <w:szCs w:val="20"/>
        </w:rPr>
        <w:t>much extra complexity</w:t>
      </w:r>
      <w:r>
        <w:rPr>
          <w:rFonts w:hint="eastAsia"/>
          <w:szCs w:val="20"/>
        </w:rPr>
        <w:t>. Therefore, RACH-less handover should be supported in NR.</w:t>
      </w:r>
    </w:p>
    <w:p>
      <w:pPr>
        <w:adjustRightInd/>
        <w:snapToGrid w:val="0"/>
        <w:rPr>
          <w:b/>
          <w:bCs/>
          <w:i/>
          <w:iCs/>
          <w:szCs w:val="20"/>
        </w:rPr>
      </w:pPr>
      <w:r>
        <w:rPr>
          <w:rFonts w:hint="eastAsia"/>
          <w:szCs w:val="20"/>
        </w:rPr>
        <w:t xml:space="preserve">The TA of target cell is configured by source cell and open loop power control is used for initial PUSCH transmission due to lack of RACH. Thus, the RACH-less handover can only be used when source cell can know the TA of target cell or when the target cell is small cell where TA is </w:t>
      </w:r>
      <w:r>
        <w:rPr>
          <w:szCs w:val="20"/>
        </w:rPr>
        <w:t>negligible</w:t>
      </w:r>
      <w:r>
        <w:rPr>
          <w:rFonts w:hint="eastAsia"/>
          <w:szCs w:val="20"/>
        </w:rPr>
        <w:t xml:space="preserve">. In most case, the source cell cannot know the TA of target cell, especially in asynchronous deployment. It can be seen that the applicable scenario of RACH-less handover in LTE is limited. Therefore, whether to extend the applicable scenario for RACH-less handover in NR should be carefully </w:t>
      </w:r>
      <w:bookmarkStart w:id="4" w:name="OLE_LINK2"/>
      <w:r>
        <w:rPr>
          <w:rFonts w:hint="eastAsia"/>
          <w:szCs w:val="20"/>
        </w:rPr>
        <w:t>studied</w:t>
      </w:r>
      <w:bookmarkEnd w:id="4"/>
      <w:r>
        <w:rPr>
          <w:rFonts w:hint="eastAsia"/>
          <w:szCs w:val="20"/>
        </w:rPr>
        <w:t xml:space="preserve">. For example, if RACH-less handover is used in asynchronous deployment, how to get the target cell TA should be studied. </w:t>
      </w:r>
    </w:p>
    <w:p>
      <w:pPr>
        <w:adjustRightInd/>
        <w:snapToGrid w:val="0"/>
        <w:rPr>
          <w:sz w:val="24"/>
          <w:szCs w:val="24"/>
        </w:rPr>
      </w:pPr>
      <w:r>
        <w:rPr>
          <w:rFonts w:hint="eastAsia"/>
          <w:b/>
          <w:bCs/>
          <w:i/>
          <w:iCs/>
          <w:szCs w:val="20"/>
        </w:rPr>
        <w:t xml:space="preserve">Proposal 1: </w:t>
      </w:r>
      <w:r>
        <w:rPr>
          <w:rFonts w:hint="eastAsia"/>
          <w:i/>
          <w:iCs/>
          <w:szCs w:val="20"/>
        </w:rPr>
        <w:t xml:space="preserve">RACH-less handover should be supported in </w:t>
      </w:r>
      <w:r>
        <w:rPr>
          <w:i/>
          <w:iCs/>
          <w:szCs w:val="20"/>
        </w:rPr>
        <w:t xml:space="preserve">Rel-16 </w:t>
      </w:r>
      <w:r>
        <w:rPr>
          <w:rFonts w:hint="eastAsia"/>
          <w:i/>
          <w:iCs/>
          <w:szCs w:val="20"/>
        </w:rPr>
        <w:t>NR</w:t>
      </w:r>
      <w:r>
        <w:rPr>
          <w:i/>
          <w:iCs/>
          <w:szCs w:val="20"/>
        </w:rPr>
        <w:t xml:space="preserve"> at least for the scenarios in which TA is known in the network</w:t>
      </w:r>
      <w:r>
        <w:rPr>
          <w:rFonts w:hint="eastAsia"/>
          <w:i/>
          <w:iCs/>
          <w:szCs w:val="20"/>
        </w:rPr>
        <w:t>.</w:t>
      </w:r>
    </w:p>
    <w:p>
      <w:pPr>
        <w:adjustRightInd/>
        <w:snapToGrid w:val="0"/>
        <w:rPr>
          <w:szCs w:val="20"/>
        </w:rPr>
      </w:pPr>
      <w:r>
        <w:rPr>
          <w:rFonts w:hint="eastAsia"/>
          <w:szCs w:val="20"/>
        </w:rPr>
        <w:t>Another method to reduce interruption time during HO/SCG change is make before break (MBB) which has already been supported in LTE and its enhanced version, i.e. enhanced make before break which is discussed in RAN2 at the same time</w:t>
      </w:r>
      <w:r>
        <w:rPr>
          <w:szCs w:val="20"/>
        </w:rPr>
        <w:t xml:space="preserve"> for Rel-16 LTE</w:t>
      </w:r>
      <w:r>
        <w:rPr>
          <w:rFonts w:hint="eastAsia"/>
          <w:szCs w:val="20"/>
        </w:rPr>
        <w:t>. For</w:t>
      </w:r>
      <w:r>
        <w:rPr>
          <w:szCs w:val="20"/>
        </w:rPr>
        <w:t xml:space="preserve"> the enhanced version</w:t>
      </w:r>
      <w:r>
        <w:rPr>
          <w:rFonts w:hint="eastAsia"/>
          <w:szCs w:val="20"/>
        </w:rPr>
        <w:t xml:space="preserve">, the common understanding is that </w:t>
      </w:r>
      <w:r>
        <w:rPr>
          <w:szCs w:val="20"/>
        </w:rPr>
        <w:t xml:space="preserve">a </w:t>
      </w:r>
      <w:r>
        <w:rPr>
          <w:rFonts w:hint="eastAsia"/>
          <w:szCs w:val="20"/>
        </w:rPr>
        <w:t>UE need</w:t>
      </w:r>
      <w:r>
        <w:rPr>
          <w:szCs w:val="20"/>
        </w:rPr>
        <w:t>s</w:t>
      </w:r>
      <w:r>
        <w:rPr>
          <w:rFonts w:hint="eastAsia"/>
          <w:szCs w:val="20"/>
        </w:rPr>
        <w:t xml:space="preserve"> to </w:t>
      </w:r>
      <w:r>
        <w:rPr>
          <w:szCs w:val="20"/>
        </w:rPr>
        <w:t xml:space="preserve">be </w:t>
      </w:r>
      <w:r>
        <w:rPr>
          <w:rFonts w:hint="eastAsia"/>
          <w:szCs w:val="20"/>
        </w:rPr>
        <w:t>equip</w:t>
      </w:r>
      <w:r>
        <w:rPr>
          <w:szCs w:val="20"/>
        </w:rPr>
        <w:t>ped with</w:t>
      </w:r>
      <w:r>
        <w:rPr>
          <w:rFonts w:hint="eastAsia"/>
          <w:szCs w:val="20"/>
        </w:rPr>
        <w:t xml:space="preserve"> at least two Tx/Rx chains and maintain two protocol stack. When UE receives the HO command from source cell it can continue to keep communication with source cell and use another Tx/Rx chain to perform random access and following data transmission/reception with target cell. That is to say that UE will keep the connections with both source cell and target cell simultaneously during handover procedure. UE will release the connection with source cell only after receiving the indication from network. From the perspective of physical layer, it can achieve 0ms interruption in theory, which is the most important objective of the WI.  </w:t>
      </w:r>
    </w:p>
    <w:p>
      <w:pPr>
        <w:adjustRightInd/>
        <w:snapToGrid w:val="0"/>
        <w:rPr>
          <w:szCs w:val="20"/>
        </w:rPr>
      </w:pPr>
      <w:r>
        <w:rPr>
          <w:rFonts w:hint="eastAsia"/>
          <w:szCs w:val="20"/>
        </w:rPr>
        <w:t xml:space="preserve">In RAN2 discussion, another possible method is DC-based handover. At the beginning, source cell configures the UE to add the target cell as a SCG(SeNB) after receiving the admission from target cell. Then dual connection is established and source cell can be seen as MCG(MeNB). Based on the measurement reports from UE, source cell initiates a role change procedure to switch the role of source cell and target cell. After the role change, target cell becomes MCG(MeNB) and source cell becomes SCG(SeNB). Finally, the target cell informs UE to release SCG (source cell) and the HO procedure is finished. Similarly, 0ms interruption can be achieved in DC-based handover. </w:t>
      </w:r>
    </w:p>
    <w:p>
      <w:pPr>
        <w:adjustRightInd/>
        <w:snapToGrid w:val="0"/>
        <w:rPr>
          <w:b/>
          <w:bCs/>
          <w:i/>
          <w:iCs/>
          <w:szCs w:val="20"/>
        </w:rPr>
      </w:pPr>
      <w:r>
        <w:rPr>
          <w:rFonts w:hint="eastAsia"/>
          <w:b/>
          <w:bCs/>
          <w:i/>
          <w:iCs/>
          <w:szCs w:val="20"/>
        </w:rPr>
        <w:t xml:space="preserve">Observation 1: </w:t>
      </w:r>
      <w:r>
        <w:rPr>
          <w:rFonts w:hint="eastAsia"/>
          <w:i/>
          <w:iCs/>
          <w:szCs w:val="20"/>
        </w:rPr>
        <w:t>Both</w:t>
      </w:r>
      <w:r>
        <w:rPr>
          <w:i/>
          <w:iCs/>
          <w:szCs w:val="20"/>
        </w:rPr>
        <w:t xml:space="preserve"> </w:t>
      </w:r>
      <w:r>
        <w:rPr>
          <w:rFonts w:hint="eastAsia"/>
          <w:i/>
          <w:iCs/>
          <w:szCs w:val="20"/>
        </w:rPr>
        <w:t xml:space="preserve">DC-based handover </w:t>
      </w:r>
      <w:r>
        <w:rPr>
          <w:i/>
          <w:iCs/>
          <w:szCs w:val="20"/>
        </w:rPr>
        <w:t xml:space="preserve">and </w:t>
      </w:r>
      <w:r>
        <w:rPr>
          <w:rFonts w:hint="eastAsia"/>
          <w:i/>
          <w:iCs/>
          <w:szCs w:val="20"/>
        </w:rPr>
        <w:t xml:space="preserve">MBB </w:t>
      </w:r>
      <w:r>
        <w:rPr>
          <w:i/>
          <w:iCs/>
          <w:szCs w:val="20"/>
        </w:rPr>
        <w:t xml:space="preserve">with multiple Tx/Rx chains at UE </w:t>
      </w:r>
      <w:r>
        <w:rPr>
          <w:rFonts w:hint="eastAsia"/>
          <w:i/>
          <w:iCs/>
          <w:szCs w:val="20"/>
        </w:rPr>
        <w:t>can achieve 0ms interruption.</w:t>
      </w:r>
    </w:p>
    <w:p>
      <w:pPr>
        <w:adjustRightInd/>
        <w:snapToGrid w:val="0"/>
      </w:pPr>
      <w:r>
        <w:t>To achieve 0ms interruption</w:t>
      </w:r>
      <w:r>
        <w:rPr>
          <w:rFonts w:hint="eastAsia"/>
        </w:rPr>
        <w:t xml:space="preserve">, UE should maintain </w:t>
      </w:r>
      <w:r>
        <w:t xml:space="preserve">simultaneous </w:t>
      </w:r>
      <w:r>
        <w:rPr>
          <w:rFonts w:hint="eastAsia"/>
        </w:rPr>
        <w:t>connections with source and target cell over a period of time</w:t>
      </w:r>
      <w:r>
        <w:t xml:space="preserve"> during handover for both MBB and DC based handover</w:t>
      </w:r>
      <w:r>
        <w:rPr>
          <w:rFonts w:hint="eastAsia"/>
        </w:rPr>
        <w:t>. It is RAN2</w:t>
      </w:r>
      <w:r>
        <w:t>’</w:t>
      </w:r>
      <w:r>
        <w:rPr>
          <w:rFonts w:hint="eastAsia"/>
        </w:rPr>
        <w:t xml:space="preserve">s </w:t>
      </w:r>
      <w:r>
        <w:t>task</w:t>
      </w:r>
      <w:r>
        <w:rPr>
          <w:rFonts w:hint="eastAsia"/>
        </w:rPr>
        <w:t xml:space="preserve"> to select which one is used as </w:t>
      </w:r>
      <w:r>
        <w:t xml:space="preserve">the </w:t>
      </w:r>
      <w:r>
        <w:rPr>
          <w:rFonts w:hint="eastAsia"/>
        </w:rPr>
        <w:t xml:space="preserve">final solution. How to </w:t>
      </w:r>
      <w:r>
        <w:t>maintain</w:t>
      </w:r>
      <w:r>
        <w:rPr>
          <w:rFonts w:hint="eastAsia"/>
        </w:rPr>
        <w:t xml:space="preserve"> </w:t>
      </w:r>
      <w:r>
        <w:t>simultaneous connection</w:t>
      </w:r>
      <w:r>
        <w:rPr>
          <w:rFonts w:hint="eastAsia"/>
        </w:rPr>
        <w:t xml:space="preserve"> with source cell and target cell</w:t>
      </w:r>
      <w:r>
        <w:t xml:space="preserve"> in physical layer perspective</w:t>
      </w:r>
      <w:r>
        <w:rPr>
          <w:rFonts w:hint="eastAsia"/>
        </w:rPr>
        <w:t xml:space="preserve"> </w:t>
      </w:r>
      <w:r>
        <w:t>can</w:t>
      </w:r>
      <w:r>
        <w:rPr>
          <w:rFonts w:hint="eastAsia"/>
        </w:rPr>
        <w:t xml:space="preserve"> be studied in RAN1. For example, how to transmit uplink signal for UE during the period of dual connection under the condition that uplink power is limited in most case</w:t>
      </w:r>
      <w:r>
        <w:t>s</w:t>
      </w:r>
      <w:r>
        <w:rPr>
          <w:rFonts w:hint="eastAsia"/>
        </w:rPr>
        <w:t xml:space="preserve">. In addition, for intra-frequency handover or when the bandwidth of source cell and target cell are overlapping, interference </w:t>
      </w:r>
      <w:r>
        <w:t xml:space="preserve">is existed </w:t>
      </w:r>
      <w:r>
        <w:rPr>
          <w:rFonts w:hint="eastAsia"/>
        </w:rPr>
        <w:t xml:space="preserve">between the source link and target link, which will </w:t>
      </w:r>
      <w:r>
        <w:t>a</w:t>
      </w:r>
      <w:r>
        <w:rPr>
          <w:rFonts w:hint="eastAsia"/>
        </w:rPr>
        <w:t xml:space="preserve">ffect the communication in both source cell and target cell. How to handle the interference should be carefully studied. </w:t>
      </w:r>
    </w:p>
    <w:p>
      <w:pPr>
        <w:adjustRightInd/>
        <w:snapToGrid w:val="0"/>
        <w:rPr>
          <w:b/>
          <w:bCs/>
          <w:i/>
          <w:iCs/>
        </w:rPr>
      </w:pPr>
      <w:r>
        <w:rPr>
          <w:rFonts w:hint="eastAsia"/>
          <w:b/>
          <w:bCs/>
          <w:i/>
          <w:iCs/>
        </w:rPr>
        <w:t xml:space="preserve">Proposal 2: </w:t>
      </w:r>
      <w:r>
        <w:rPr>
          <w:rFonts w:hint="eastAsia"/>
          <w:i/>
          <w:iCs/>
        </w:rPr>
        <w:t>RAN1 to study how to perform</w:t>
      </w:r>
      <w:r>
        <w:rPr>
          <w:i/>
          <w:iCs/>
        </w:rPr>
        <w:t xml:space="preserve"> reliable</w:t>
      </w:r>
      <w:r>
        <w:rPr>
          <w:rFonts w:hint="eastAsia"/>
          <w:i/>
          <w:iCs/>
        </w:rPr>
        <w:t xml:space="preserve"> DL/UL communication with source cell and target cell during the period of dual connection.</w:t>
      </w:r>
    </w:p>
    <w:p>
      <w:pPr>
        <w:pStyle w:val="2"/>
        <w:snapToGrid w:val="0"/>
        <w:spacing w:before="120" w:after="120" w:line="240" w:lineRule="auto"/>
        <w:ind w:left="431" w:hanging="431"/>
        <w:rPr>
          <w:sz w:val="28"/>
          <w:szCs w:val="28"/>
          <w:lang w:val="en-US" w:eastAsia="zh-CN"/>
        </w:rPr>
      </w:pPr>
      <w:r>
        <w:rPr>
          <w:rFonts w:hint="eastAsia"/>
          <w:sz w:val="28"/>
          <w:szCs w:val="28"/>
          <w:lang w:val="en-US" w:eastAsia="zh-CN"/>
        </w:rPr>
        <w:t>Conclusions</w:t>
      </w:r>
    </w:p>
    <w:p>
      <w:pPr>
        <w:adjustRightInd/>
        <w:snapToGrid w:val="0"/>
        <w:rPr>
          <w:bCs/>
          <w:iCs/>
          <w:szCs w:val="20"/>
        </w:rPr>
      </w:pPr>
      <w:r>
        <w:rPr>
          <w:rFonts w:hint="eastAsia"/>
          <w:bCs/>
          <w:iCs/>
          <w:szCs w:val="20"/>
        </w:rPr>
        <w:t>According to the discussion above, we have the following observation and proposals:</w:t>
      </w:r>
    </w:p>
    <w:p>
      <w:pPr>
        <w:adjustRightInd/>
        <w:snapToGrid w:val="0"/>
        <w:rPr>
          <w:i/>
          <w:iCs/>
          <w:szCs w:val="20"/>
        </w:rPr>
      </w:pPr>
      <w:r>
        <w:rPr>
          <w:rFonts w:hint="eastAsia"/>
          <w:b/>
          <w:bCs/>
          <w:i/>
          <w:iCs/>
          <w:szCs w:val="20"/>
        </w:rPr>
        <w:t xml:space="preserve">Observation 1: </w:t>
      </w:r>
      <w:r>
        <w:rPr>
          <w:rFonts w:hint="eastAsia"/>
          <w:i/>
          <w:iCs/>
          <w:szCs w:val="20"/>
        </w:rPr>
        <w:t>Both</w:t>
      </w:r>
      <w:r>
        <w:rPr>
          <w:i/>
          <w:iCs/>
          <w:szCs w:val="20"/>
        </w:rPr>
        <w:t xml:space="preserve"> </w:t>
      </w:r>
      <w:r>
        <w:rPr>
          <w:rFonts w:hint="eastAsia"/>
          <w:i/>
          <w:iCs/>
          <w:szCs w:val="20"/>
        </w:rPr>
        <w:t xml:space="preserve">DC-based handover </w:t>
      </w:r>
      <w:r>
        <w:rPr>
          <w:i/>
          <w:iCs/>
          <w:szCs w:val="20"/>
        </w:rPr>
        <w:t xml:space="preserve">and </w:t>
      </w:r>
      <w:r>
        <w:rPr>
          <w:rFonts w:hint="eastAsia"/>
          <w:i/>
          <w:iCs/>
          <w:szCs w:val="20"/>
        </w:rPr>
        <w:t xml:space="preserve">MBB </w:t>
      </w:r>
      <w:r>
        <w:rPr>
          <w:i/>
          <w:iCs/>
          <w:szCs w:val="20"/>
        </w:rPr>
        <w:t xml:space="preserve">with multiple Tx/Rx chains at UE </w:t>
      </w:r>
      <w:r>
        <w:rPr>
          <w:rFonts w:hint="eastAsia"/>
          <w:i/>
          <w:iCs/>
          <w:szCs w:val="20"/>
        </w:rPr>
        <w:t>can achieve 0ms interruption.</w:t>
      </w:r>
    </w:p>
    <w:p>
      <w:pPr>
        <w:adjustRightInd/>
        <w:snapToGrid w:val="0"/>
        <w:rPr>
          <w:sz w:val="24"/>
          <w:szCs w:val="24"/>
        </w:rPr>
      </w:pPr>
      <w:r>
        <w:rPr>
          <w:rFonts w:hint="eastAsia"/>
          <w:b/>
          <w:bCs/>
          <w:i/>
          <w:iCs/>
          <w:szCs w:val="20"/>
        </w:rPr>
        <w:t xml:space="preserve">Proposal 1: </w:t>
      </w:r>
      <w:r>
        <w:rPr>
          <w:rFonts w:hint="eastAsia"/>
          <w:i/>
          <w:iCs/>
          <w:szCs w:val="20"/>
        </w:rPr>
        <w:t xml:space="preserve">RACH-less handover should be supported in </w:t>
      </w:r>
      <w:r>
        <w:rPr>
          <w:i/>
          <w:iCs/>
          <w:szCs w:val="20"/>
        </w:rPr>
        <w:t xml:space="preserve">Rel-16 </w:t>
      </w:r>
      <w:r>
        <w:rPr>
          <w:rFonts w:hint="eastAsia"/>
          <w:i/>
          <w:iCs/>
          <w:szCs w:val="20"/>
        </w:rPr>
        <w:t>NR</w:t>
      </w:r>
      <w:r>
        <w:rPr>
          <w:i/>
          <w:iCs/>
          <w:szCs w:val="20"/>
        </w:rPr>
        <w:t xml:space="preserve"> at least for the scenarios in which TA is known in the network</w:t>
      </w:r>
      <w:r>
        <w:rPr>
          <w:rFonts w:hint="eastAsia"/>
          <w:i/>
          <w:iCs/>
          <w:szCs w:val="20"/>
        </w:rPr>
        <w:t>.</w:t>
      </w:r>
    </w:p>
    <w:p>
      <w:pPr>
        <w:adjustRightInd/>
        <w:snapToGrid w:val="0"/>
        <w:rPr>
          <w:i/>
          <w:iCs/>
          <w:szCs w:val="20"/>
        </w:rPr>
      </w:pPr>
      <w:r>
        <w:rPr>
          <w:rFonts w:hint="eastAsia"/>
          <w:b/>
          <w:bCs/>
          <w:i/>
          <w:iCs/>
        </w:rPr>
        <w:t xml:space="preserve">Proposal 2: </w:t>
      </w:r>
      <w:r>
        <w:rPr>
          <w:rFonts w:hint="eastAsia"/>
          <w:i/>
          <w:iCs/>
        </w:rPr>
        <w:t>RAN1 to study how to perform</w:t>
      </w:r>
      <w:r>
        <w:rPr>
          <w:i/>
          <w:iCs/>
        </w:rPr>
        <w:t xml:space="preserve"> reliable</w:t>
      </w:r>
      <w:r>
        <w:rPr>
          <w:rFonts w:hint="eastAsia"/>
          <w:i/>
          <w:iCs/>
        </w:rPr>
        <w:t xml:space="preserve"> DL/UL communication with source cell and target cell during the period of dual connection.</w:t>
      </w:r>
    </w:p>
    <w:p>
      <w:pPr>
        <w:pStyle w:val="2"/>
        <w:snapToGrid w:val="0"/>
        <w:spacing w:before="120" w:after="120" w:line="240" w:lineRule="auto"/>
        <w:ind w:left="431" w:hanging="431"/>
        <w:rPr>
          <w:sz w:val="28"/>
          <w:szCs w:val="28"/>
          <w:lang w:val="en-US" w:eastAsia="zh-CN"/>
        </w:rPr>
      </w:pPr>
      <w:r>
        <w:rPr>
          <w:rFonts w:hint="eastAsia"/>
          <w:sz w:val="28"/>
          <w:szCs w:val="28"/>
          <w:lang w:val="en-US" w:eastAsia="zh-CN"/>
        </w:rPr>
        <w:t>Reference</w:t>
      </w:r>
    </w:p>
    <w:p>
      <w:pPr>
        <w:adjustRightInd/>
        <w:snapToGrid w:val="0"/>
      </w:pPr>
      <w:r>
        <w:rPr>
          <w:rFonts w:hint="eastAsia"/>
        </w:rPr>
        <w:t>[1] RP-181433 New WID: NR mobility enhancements</w:t>
      </w:r>
    </w:p>
    <w:sectPr>
      <w:headerReference r:id="rId3" w:type="default"/>
      <w:footerReference r:id="rId4" w:type="default"/>
      <w:footerReference r:id="rId5" w:type="even"/>
      <w:pgSz w:w="11906" w:h="16838"/>
      <w:pgMar w:top="1440"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4"/>
      </w:rPr>
    </w:pPr>
    <w:r>
      <w:fldChar w:fldCharType="begin"/>
    </w:r>
    <w:r>
      <w:rPr>
        <w:rStyle w:val="14"/>
      </w:rPr>
      <w:instrText xml:space="preserve">PAGE  </w:instrText>
    </w:r>
    <w:r>
      <w:fldChar w:fldCharType="end"/>
    </w:r>
  </w:p>
  <w:p>
    <w:pPr>
      <w:pStyle w:val="1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C78E2"/>
    <w:multiLevelType w:val="multilevel"/>
    <w:tmpl w:val="156C78E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17217971"/>
    <w:multiLevelType w:val="multilevel"/>
    <w:tmpl w:val="172179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506"/>
    <w:rsid w:val="00013F8B"/>
    <w:rsid w:val="000154F3"/>
    <w:rsid w:val="000423F3"/>
    <w:rsid w:val="00055513"/>
    <w:rsid w:val="000634A0"/>
    <w:rsid w:val="00086B7C"/>
    <w:rsid w:val="000941B9"/>
    <w:rsid w:val="000A15EE"/>
    <w:rsid w:val="000C14E7"/>
    <w:rsid w:val="001033D7"/>
    <w:rsid w:val="00126C4D"/>
    <w:rsid w:val="00140F74"/>
    <w:rsid w:val="00147B32"/>
    <w:rsid w:val="001927D9"/>
    <w:rsid w:val="001952FA"/>
    <w:rsid w:val="001C396D"/>
    <w:rsid w:val="001F4591"/>
    <w:rsid w:val="002011B2"/>
    <w:rsid w:val="00213BC9"/>
    <w:rsid w:val="002302C4"/>
    <w:rsid w:val="00255D5D"/>
    <w:rsid w:val="002B673D"/>
    <w:rsid w:val="002C227A"/>
    <w:rsid w:val="002E4E7D"/>
    <w:rsid w:val="002F3D88"/>
    <w:rsid w:val="003163AC"/>
    <w:rsid w:val="00367423"/>
    <w:rsid w:val="00384041"/>
    <w:rsid w:val="0038540C"/>
    <w:rsid w:val="00390CA8"/>
    <w:rsid w:val="00396D8D"/>
    <w:rsid w:val="003A4C52"/>
    <w:rsid w:val="003B5025"/>
    <w:rsid w:val="003B6321"/>
    <w:rsid w:val="003D572D"/>
    <w:rsid w:val="003D66D5"/>
    <w:rsid w:val="003D7F19"/>
    <w:rsid w:val="003E1106"/>
    <w:rsid w:val="003F3795"/>
    <w:rsid w:val="0040498A"/>
    <w:rsid w:val="00405A98"/>
    <w:rsid w:val="004214E2"/>
    <w:rsid w:val="00443A28"/>
    <w:rsid w:val="00447867"/>
    <w:rsid w:val="00455FFA"/>
    <w:rsid w:val="004649B8"/>
    <w:rsid w:val="004836CE"/>
    <w:rsid w:val="00484F5F"/>
    <w:rsid w:val="004864FF"/>
    <w:rsid w:val="00490C5D"/>
    <w:rsid w:val="00491565"/>
    <w:rsid w:val="004E18CD"/>
    <w:rsid w:val="004F534A"/>
    <w:rsid w:val="005227EF"/>
    <w:rsid w:val="00560708"/>
    <w:rsid w:val="00567880"/>
    <w:rsid w:val="00584364"/>
    <w:rsid w:val="00592C86"/>
    <w:rsid w:val="005A55F3"/>
    <w:rsid w:val="005C0A03"/>
    <w:rsid w:val="005C2573"/>
    <w:rsid w:val="005C36E4"/>
    <w:rsid w:val="00612838"/>
    <w:rsid w:val="00654DD4"/>
    <w:rsid w:val="00657786"/>
    <w:rsid w:val="00657CE6"/>
    <w:rsid w:val="00664C21"/>
    <w:rsid w:val="006757CE"/>
    <w:rsid w:val="00693CEA"/>
    <w:rsid w:val="006B12BF"/>
    <w:rsid w:val="00763977"/>
    <w:rsid w:val="00767949"/>
    <w:rsid w:val="007709A5"/>
    <w:rsid w:val="007709FF"/>
    <w:rsid w:val="007A111B"/>
    <w:rsid w:val="007C6C3C"/>
    <w:rsid w:val="007F4B6E"/>
    <w:rsid w:val="007F5900"/>
    <w:rsid w:val="00820D72"/>
    <w:rsid w:val="008334E6"/>
    <w:rsid w:val="008434F5"/>
    <w:rsid w:val="00851A26"/>
    <w:rsid w:val="00880687"/>
    <w:rsid w:val="00887D85"/>
    <w:rsid w:val="008951DF"/>
    <w:rsid w:val="008A2682"/>
    <w:rsid w:val="008B2B31"/>
    <w:rsid w:val="008B5A88"/>
    <w:rsid w:val="008C61BC"/>
    <w:rsid w:val="008C66C6"/>
    <w:rsid w:val="009227C7"/>
    <w:rsid w:val="00930B0D"/>
    <w:rsid w:val="009535E9"/>
    <w:rsid w:val="00977F66"/>
    <w:rsid w:val="00997278"/>
    <w:rsid w:val="009A3168"/>
    <w:rsid w:val="009A433A"/>
    <w:rsid w:val="009B0D42"/>
    <w:rsid w:val="009D4BE3"/>
    <w:rsid w:val="009D70A5"/>
    <w:rsid w:val="009E0E78"/>
    <w:rsid w:val="009E1517"/>
    <w:rsid w:val="009E31CA"/>
    <w:rsid w:val="00A07E70"/>
    <w:rsid w:val="00A25FF1"/>
    <w:rsid w:val="00A3282C"/>
    <w:rsid w:val="00A70A8A"/>
    <w:rsid w:val="00A90F4E"/>
    <w:rsid w:val="00AA2108"/>
    <w:rsid w:val="00AB37B0"/>
    <w:rsid w:val="00AF1B66"/>
    <w:rsid w:val="00B0175B"/>
    <w:rsid w:val="00B3338E"/>
    <w:rsid w:val="00B35707"/>
    <w:rsid w:val="00B85AC8"/>
    <w:rsid w:val="00B95AF4"/>
    <w:rsid w:val="00BA44DB"/>
    <w:rsid w:val="00BD38F2"/>
    <w:rsid w:val="00BF2506"/>
    <w:rsid w:val="00C139E7"/>
    <w:rsid w:val="00C416B0"/>
    <w:rsid w:val="00C66C5A"/>
    <w:rsid w:val="00C7085B"/>
    <w:rsid w:val="00C773BC"/>
    <w:rsid w:val="00C85864"/>
    <w:rsid w:val="00C85A4D"/>
    <w:rsid w:val="00C90139"/>
    <w:rsid w:val="00CF6D7E"/>
    <w:rsid w:val="00D32C78"/>
    <w:rsid w:val="00D4639E"/>
    <w:rsid w:val="00D61D75"/>
    <w:rsid w:val="00D76B57"/>
    <w:rsid w:val="00D84F0E"/>
    <w:rsid w:val="00D96FF8"/>
    <w:rsid w:val="00DB62C6"/>
    <w:rsid w:val="00DF58BE"/>
    <w:rsid w:val="00E15C02"/>
    <w:rsid w:val="00E24F46"/>
    <w:rsid w:val="00E44B9C"/>
    <w:rsid w:val="00E54F09"/>
    <w:rsid w:val="00E66664"/>
    <w:rsid w:val="00E85758"/>
    <w:rsid w:val="00E905CD"/>
    <w:rsid w:val="00E94472"/>
    <w:rsid w:val="00E953A3"/>
    <w:rsid w:val="00EA007B"/>
    <w:rsid w:val="00EB2770"/>
    <w:rsid w:val="00EB2B65"/>
    <w:rsid w:val="00ED2C07"/>
    <w:rsid w:val="00EE5427"/>
    <w:rsid w:val="00F15D11"/>
    <w:rsid w:val="00F429E0"/>
    <w:rsid w:val="00F726CD"/>
    <w:rsid w:val="00FB1F0A"/>
    <w:rsid w:val="00FB682B"/>
    <w:rsid w:val="00FF2167"/>
    <w:rsid w:val="01AE729A"/>
    <w:rsid w:val="01E412A5"/>
    <w:rsid w:val="029D19A2"/>
    <w:rsid w:val="033F1CE0"/>
    <w:rsid w:val="036D4901"/>
    <w:rsid w:val="0394785E"/>
    <w:rsid w:val="03BC522E"/>
    <w:rsid w:val="03F75120"/>
    <w:rsid w:val="041816E2"/>
    <w:rsid w:val="04241E25"/>
    <w:rsid w:val="044F368A"/>
    <w:rsid w:val="04513D5D"/>
    <w:rsid w:val="04606EFE"/>
    <w:rsid w:val="04736E72"/>
    <w:rsid w:val="04A318DC"/>
    <w:rsid w:val="04AD7F52"/>
    <w:rsid w:val="04AE7DB4"/>
    <w:rsid w:val="04B8516A"/>
    <w:rsid w:val="055129D4"/>
    <w:rsid w:val="05A87EE6"/>
    <w:rsid w:val="05B35A6F"/>
    <w:rsid w:val="05BF3534"/>
    <w:rsid w:val="060439FB"/>
    <w:rsid w:val="0620417E"/>
    <w:rsid w:val="062F3929"/>
    <w:rsid w:val="0673480B"/>
    <w:rsid w:val="06AC3229"/>
    <w:rsid w:val="06BA6EEB"/>
    <w:rsid w:val="06C14313"/>
    <w:rsid w:val="073947E9"/>
    <w:rsid w:val="077F3A70"/>
    <w:rsid w:val="07993969"/>
    <w:rsid w:val="07FF30C3"/>
    <w:rsid w:val="08C522E7"/>
    <w:rsid w:val="091D7688"/>
    <w:rsid w:val="09744D80"/>
    <w:rsid w:val="09A606C9"/>
    <w:rsid w:val="09AC733D"/>
    <w:rsid w:val="0A145512"/>
    <w:rsid w:val="0A8F6CC0"/>
    <w:rsid w:val="0AB209A0"/>
    <w:rsid w:val="0B051C63"/>
    <w:rsid w:val="0B16565D"/>
    <w:rsid w:val="0C3261E4"/>
    <w:rsid w:val="0C441F2D"/>
    <w:rsid w:val="0C7637EC"/>
    <w:rsid w:val="0CBB51C6"/>
    <w:rsid w:val="0D1868D6"/>
    <w:rsid w:val="0D1D00CE"/>
    <w:rsid w:val="0D265E1B"/>
    <w:rsid w:val="0D270F19"/>
    <w:rsid w:val="0D3C46E0"/>
    <w:rsid w:val="0D635EA3"/>
    <w:rsid w:val="0D721E13"/>
    <w:rsid w:val="0D8A070E"/>
    <w:rsid w:val="0DCC4C88"/>
    <w:rsid w:val="0DDF7F80"/>
    <w:rsid w:val="0E10272F"/>
    <w:rsid w:val="0EAF4C9E"/>
    <w:rsid w:val="0EF21DB5"/>
    <w:rsid w:val="0F184F40"/>
    <w:rsid w:val="0F4C0CE0"/>
    <w:rsid w:val="0F8F1EE3"/>
    <w:rsid w:val="0F971E5D"/>
    <w:rsid w:val="0FBB33E8"/>
    <w:rsid w:val="0FC95DB9"/>
    <w:rsid w:val="0FFB6243"/>
    <w:rsid w:val="10856A34"/>
    <w:rsid w:val="10A2360F"/>
    <w:rsid w:val="10AB45EF"/>
    <w:rsid w:val="10B71391"/>
    <w:rsid w:val="10CA5C6F"/>
    <w:rsid w:val="11233BA1"/>
    <w:rsid w:val="117B0E55"/>
    <w:rsid w:val="11D252EF"/>
    <w:rsid w:val="12107759"/>
    <w:rsid w:val="127E321B"/>
    <w:rsid w:val="129D7120"/>
    <w:rsid w:val="129E4795"/>
    <w:rsid w:val="12AA0C8A"/>
    <w:rsid w:val="12FD2288"/>
    <w:rsid w:val="13665147"/>
    <w:rsid w:val="136B6804"/>
    <w:rsid w:val="137163FB"/>
    <w:rsid w:val="14AB383F"/>
    <w:rsid w:val="150F437C"/>
    <w:rsid w:val="15CF0D83"/>
    <w:rsid w:val="15FB2E5F"/>
    <w:rsid w:val="169E123C"/>
    <w:rsid w:val="16A73E4D"/>
    <w:rsid w:val="16DF3104"/>
    <w:rsid w:val="16FC6F7B"/>
    <w:rsid w:val="170D3F08"/>
    <w:rsid w:val="174D05A7"/>
    <w:rsid w:val="17602D8C"/>
    <w:rsid w:val="17A64452"/>
    <w:rsid w:val="17D531BB"/>
    <w:rsid w:val="1823280B"/>
    <w:rsid w:val="182D3B0D"/>
    <w:rsid w:val="184947FA"/>
    <w:rsid w:val="1867001B"/>
    <w:rsid w:val="18917BAC"/>
    <w:rsid w:val="18B84D32"/>
    <w:rsid w:val="18EB2E07"/>
    <w:rsid w:val="19117672"/>
    <w:rsid w:val="194E5D9C"/>
    <w:rsid w:val="194F5F43"/>
    <w:rsid w:val="197B3F99"/>
    <w:rsid w:val="19817F0D"/>
    <w:rsid w:val="198454C7"/>
    <w:rsid w:val="19971359"/>
    <w:rsid w:val="1A276CF3"/>
    <w:rsid w:val="1A36745F"/>
    <w:rsid w:val="1A3701AA"/>
    <w:rsid w:val="1A3811C7"/>
    <w:rsid w:val="1A6B279B"/>
    <w:rsid w:val="1B0B4091"/>
    <w:rsid w:val="1B272D8F"/>
    <w:rsid w:val="1B4C0B1B"/>
    <w:rsid w:val="1BA76986"/>
    <w:rsid w:val="1BF868CE"/>
    <w:rsid w:val="1C20457C"/>
    <w:rsid w:val="1C360E43"/>
    <w:rsid w:val="1C42648A"/>
    <w:rsid w:val="1C701DCF"/>
    <w:rsid w:val="1CB10342"/>
    <w:rsid w:val="1CBF658F"/>
    <w:rsid w:val="1D7847FD"/>
    <w:rsid w:val="1D7A3B4C"/>
    <w:rsid w:val="1DB949D2"/>
    <w:rsid w:val="1DD045AC"/>
    <w:rsid w:val="1DDE7DF6"/>
    <w:rsid w:val="1E066DD2"/>
    <w:rsid w:val="1E5D60DE"/>
    <w:rsid w:val="1E841331"/>
    <w:rsid w:val="1E980E68"/>
    <w:rsid w:val="1ECD4C19"/>
    <w:rsid w:val="1EF72A5B"/>
    <w:rsid w:val="1F04263F"/>
    <w:rsid w:val="1F471FC5"/>
    <w:rsid w:val="1FFF0A8D"/>
    <w:rsid w:val="209E70F2"/>
    <w:rsid w:val="20BC7AB4"/>
    <w:rsid w:val="20F47F09"/>
    <w:rsid w:val="21233C2A"/>
    <w:rsid w:val="213660C8"/>
    <w:rsid w:val="214E2E86"/>
    <w:rsid w:val="21753B79"/>
    <w:rsid w:val="21D47BD2"/>
    <w:rsid w:val="22055BE4"/>
    <w:rsid w:val="22067379"/>
    <w:rsid w:val="22515C78"/>
    <w:rsid w:val="22720E71"/>
    <w:rsid w:val="22994F2A"/>
    <w:rsid w:val="22B4117C"/>
    <w:rsid w:val="22F27F4A"/>
    <w:rsid w:val="23A470E0"/>
    <w:rsid w:val="23F331F2"/>
    <w:rsid w:val="24133555"/>
    <w:rsid w:val="241A1059"/>
    <w:rsid w:val="2420103F"/>
    <w:rsid w:val="244417E6"/>
    <w:rsid w:val="24511954"/>
    <w:rsid w:val="24607C10"/>
    <w:rsid w:val="247F43F4"/>
    <w:rsid w:val="248E02B3"/>
    <w:rsid w:val="24CA2DDB"/>
    <w:rsid w:val="251C24DA"/>
    <w:rsid w:val="25256AE8"/>
    <w:rsid w:val="25A156BC"/>
    <w:rsid w:val="25A940D0"/>
    <w:rsid w:val="25D627FA"/>
    <w:rsid w:val="25FD244C"/>
    <w:rsid w:val="26097876"/>
    <w:rsid w:val="2642380A"/>
    <w:rsid w:val="26871E03"/>
    <w:rsid w:val="270B5B60"/>
    <w:rsid w:val="27237556"/>
    <w:rsid w:val="274872BD"/>
    <w:rsid w:val="27C1792C"/>
    <w:rsid w:val="27DC060E"/>
    <w:rsid w:val="280E6D22"/>
    <w:rsid w:val="283A1C7F"/>
    <w:rsid w:val="28912F1C"/>
    <w:rsid w:val="28E3249A"/>
    <w:rsid w:val="290F3262"/>
    <w:rsid w:val="291731B3"/>
    <w:rsid w:val="2961326D"/>
    <w:rsid w:val="29C14C15"/>
    <w:rsid w:val="2A1B04F5"/>
    <w:rsid w:val="2A633745"/>
    <w:rsid w:val="2A6F1F4F"/>
    <w:rsid w:val="2A7510F3"/>
    <w:rsid w:val="2A814008"/>
    <w:rsid w:val="2A843F28"/>
    <w:rsid w:val="2A8A4874"/>
    <w:rsid w:val="2AFE6516"/>
    <w:rsid w:val="2B1370F3"/>
    <w:rsid w:val="2B8628C9"/>
    <w:rsid w:val="2BB94227"/>
    <w:rsid w:val="2BE47D99"/>
    <w:rsid w:val="2BE64936"/>
    <w:rsid w:val="2C0205C2"/>
    <w:rsid w:val="2C2A49E0"/>
    <w:rsid w:val="2C34453F"/>
    <w:rsid w:val="2C8563CE"/>
    <w:rsid w:val="2CA17AFD"/>
    <w:rsid w:val="2CFE5A5E"/>
    <w:rsid w:val="2D1501C8"/>
    <w:rsid w:val="2DAA1515"/>
    <w:rsid w:val="2DB91B1B"/>
    <w:rsid w:val="2DCE143E"/>
    <w:rsid w:val="2DE57538"/>
    <w:rsid w:val="2E2774F3"/>
    <w:rsid w:val="2E301A30"/>
    <w:rsid w:val="2E373177"/>
    <w:rsid w:val="2E601016"/>
    <w:rsid w:val="2EBB3E8E"/>
    <w:rsid w:val="2EBE4159"/>
    <w:rsid w:val="2EC73AE8"/>
    <w:rsid w:val="2F0F66CB"/>
    <w:rsid w:val="2F644BBC"/>
    <w:rsid w:val="2F873154"/>
    <w:rsid w:val="2F8D52DF"/>
    <w:rsid w:val="2FAA7008"/>
    <w:rsid w:val="2FAD0EDE"/>
    <w:rsid w:val="30006F32"/>
    <w:rsid w:val="301A45CB"/>
    <w:rsid w:val="3079313F"/>
    <w:rsid w:val="30794075"/>
    <w:rsid w:val="3080236C"/>
    <w:rsid w:val="30E9280C"/>
    <w:rsid w:val="3149581C"/>
    <w:rsid w:val="31E614B1"/>
    <w:rsid w:val="32213C6E"/>
    <w:rsid w:val="323B78B2"/>
    <w:rsid w:val="3261426D"/>
    <w:rsid w:val="32764E32"/>
    <w:rsid w:val="32941BCD"/>
    <w:rsid w:val="32C2777C"/>
    <w:rsid w:val="33035BB1"/>
    <w:rsid w:val="33070B6F"/>
    <w:rsid w:val="33137031"/>
    <w:rsid w:val="33C05DEB"/>
    <w:rsid w:val="33E03CFB"/>
    <w:rsid w:val="33EE30C3"/>
    <w:rsid w:val="344A7741"/>
    <w:rsid w:val="34556F16"/>
    <w:rsid w:val="34614F62"/>
    <w:rsid w:val="348577B0"/>
    <w:rsid w:val="357E1DC8"/>
    <w:rsid w:val="358B445B"/>
    <w:rsid w:val="362D0952"/>
    <w:rsid w:val="36496E7C"/>
    <w:rsid w:val="36E32288"/>
    <w:rsid w:val="36F33E35"/>
    <w:rsid w:val="372E2E2E"/>
    <w:rsid w:val="379F05A2"/>
    <w:rsid w:val="388224C0"/>
    <w:rsid w:val="389043EE"/>
    <w:rsid w:val="38EF4A33"/>
    <w:rsid w:val="39594B30"/>
    <w:rsid w:val="39BF31D3"/>
    <w:rsid w:val="39CD6F02"/>
    <w:rsid w:val="39D11E90"/>
    <w:rsid w:val="3A5049FE"/>
    <w:rsid w:val="3AE16EBE"/>
    <w:rsid w:val="3AF423C0"/>
    <w:rsid w:val="3AFE3C8E"/>
    <w:rsid w:val="3B726DC1"/>
    <w:rsid w:val="3BD220A2"/>
    <w:rsid w:val="3C3E5EC1"/>
    <w:rsid w:val="3C901943"/>
    <w:rsid w:val="3CAB3AFE"/>
    <w:rsid w:val="3CC620E9"/>
    <w:rsid w:val="3CD03809"/>
    <w:rsid w:val="3D477C62"/>
    <w:rsid w:val="3DE91276"/>
    <w:rsid w:val="3E2D759D"/>
    <w:rsid w:val="3EBE713A"/>
    <w:rsid w:val="3ECF522B"/>
    <w:rsid w:val="3F32755B"/>
    <w:rsid w:val="3F941898"/>
    <w:rsid w:val="3FD85E23"/>
    <w:rsid w:val="40491B20"/>
    <w:rsid w:val="405A1CF8"/>
    <w:rsid w:val="4074089F"/>
    <w:rsid w:val="408D188B"/>
    <w:rsid w:val="40BB552B"/>
    <w:rsid w:val="40BD634B"/>
    <w:rsid w:val="41740236"/>
    <w:rsid w:val="41E26793"/>
    <w:rsid w:val="41E90BBF"/>
    <w:rsid w:val="42134E28"/>
    <w:rsid w:val="42141242"/>
    <w:rsid w:val="4282603F"/>
    <w:rsid w:val="42C310F4"/>
    <w:rsid w:val="42CE3AF0"/>
    <w:rsid w:val="42FC3F60"/>
    <w:rsid w:val="43081336"/>
    <w:rsid w:val="432B13A1"/>
    <w:rsid w:val="43362E27"/>
    <w:rsid w:val="434844B1"/>
    <w:rsid w:val="43486E55"/>
    <w:rsid w:val="436B3960"/>
    <w:rsid w:val="43AC2E50"/>
    <w:rsid w:val="43B335E7"/>
    <w:rsid w:val="43C1516D"/>
    <w:rsid w:val="448B3005"/>
    <w:rsid w:val="45201440"/>
    <w:rsid w:val="452E0EE6"/>
    <w:rsid w:val="455719D4"/>
    <w:rsid w:val="456162EA"/>
    <w:rsid w:val="45AA37EF"/>
    <w:rsid w:val="460176FE"/>
    <w:rsid w:val="46260526"/>
    <w:rsid w:val="4639656E"/>
    <w:rsid w:val="46C03CCB"/>
    <w:rsid w:val="47043622"/>
    <w:rsid w:val="470E18BD"/>
    <w:rsid w:val="472D46F4"/>
    <w:rsid w:val="475E315E"/>
    <w:rsid w:val="47712964"/>
    <w:rsid w:val="47776BE6"/>
    <w:rsid w:val="478601A3"/>
    <w:rsid w:val="478A39B0"/>
    <w:rsid w:val="479059A4"/>
    <w:rsid w:val="47FD59B9"/>
    <w:rsid w:val="481915AE"/>
    <w:rsid w:val="48937E21"/>
    <w:rsid w:val="49B55598"/>
    <w:rsid w:val="49CC13D9"/>
    <w:rsid w:val="49FD392D"/>
    <w:rsid w:val="4A387DAE"/>
    <w:rsid w:val="4A876BA5"/>
    <w:rsid w:val="4AAF3E0F"/>
    <w:rsid w:val="4AAF7647"/>
    <w:rsid w:val="4AFA70BF"/>
    <w:rsid w:val="4B361573"/>
    <w:rsid w:val="4B657E35"/>
    <w:rsid w:val="4B6B2DE5"/>
    <w:rsid w:val="4C0C4953"/>
    <w:rsid w:val="4C4B623C"/>
    <w:rsid w:val="4CC86A85"/>
    <w:rsid w:val="4D0A0D94"/>
    <w:rsid w:val="4D174CBE"/>
    <w:rsid w:val="4D253200"/>
    <w:rsid w:val="4D964D98"/>
    <w:rsid w:val="4E896B42"/>
    <w:rsid w:val="4E8A6327"/>
    <w:rsid w:val="4EBD6978"/>
    <w:rsid w:val="4EC0279F"/>
    <w:rsid w:val="4EF3597A"/>
    <w:rsid w:val="4F345B0E"/>
    <w:rsid w:val="4F537376"/>
    <w:rsid w:val="4FD0282F"/>
    <w:rsid w:val="4FDE6B31"/>
    <w:rsid w:val="4FE50545"/>
    <w:rsid w:val="4FE74016"/>
    <w:rsid w:val="4FEB2985"/>
    <w:rsid w:val="502A5275"/>
    <w:rsid w:val="50462037"/>
    <w:rsid w:val="50965DB8"/>
    <w:rsid w:val="50E82299"/>
    <w:rsid w:val="50EC0553"/>
    <w:rsid w:val="515A7DE8"/>
    <w:rsid w:val="51721868"/>
    <w:rsid w:val="518A45EE"/>
    <w:rsid w:val="51BE0346"/>
    <w:rsid w:val="52093FF6"/>
    <w:rsid w:val="522E2B7E"/>
    <w:rsid w:val="5258113C"/>
    <w:rsid w:val="526C48F7"/>
    <w:rsid w:val="528D5E25"/>
    <w:rsid w:val="52F246F4"/>
    <w:rsid w:val="53225D6D"/>
    <w:rsid w:val="53310B76"/>
    <w:rsid w:val="537E1C48"/>
    <w:rsid w:val="539601B8"/>
    <w:rsid w:val="54015E76"/>
    <w:rsid w:val="541C6CE0"/>
    <w:rsid w:val="54560BDA"/>
    <w:rsid w:val="54A70EDF"/>
    <w:rsid w:val="54CE6D3A"/>
    <w:rsid w:val="54E611E3"/>
    <w:rsid w:val="54FB1C7B"/>
    <w:rsid w:val="552C1465"/>
    <w:rsid w:val="55A56843"/>
    <w:rsid w:val="55ED321D"/>
    <w:rsid w:val="56080333"/>
    <w:rsid w:val="56097C68"/>
    <w:rsid w:val="56EC3B9A"/>
    <w:rsid w:val="575F3560"/>
    <w:rsid w:val="57843100"/>
    <w:rsid w:val="57CF2BB9"/>
    <w:rsid w:val="57FD1641"/>
    <w:rsid w:val="581664C8"/>
    <w:rsid w:val="582012AC"/>
    <w:rsid w:val="582D7077"/>
    <w:rsid w:val="588C2DA5"/>
    <w:rsid w:val="59156914"/>
    <w:rsid w:val="5919085F"/>
    <w:rsid w:val="594D0111"/>
    <w:rsid w:val="59632F6D"/>
    <w:rsid w:val="59710F36"/>
    <w:rsid w:val="59C36E58"/>
    <w:rsid w:val="59D3429F"/>
    <w:rsid w:val="59E609D1"/>
    <w:rsid w:val="59E61315"/>
    <w:rsid w:val="5A187AF8"/>
    <w:rsid w:val="5A7041A6"/>
    <w:rsid w:val="5AA309A5"/>
    <w:rsid w:val="5B853EAC"/>
    <w:rsid w:val="5C190A92"/>
    <w:rsid w:val="5C250B42"/>
    <w:rsid w:val="5C347EB7"/>
    <w:rsid w:val="5C355B3D"/>
    <w:rsid w:val="5C407D77"/>
    <w:rsid w:val="5C937FA5"/>
    <w:rsid w:val="5C97057E"/>
    <w:rsid w:val="5CAC24F8"/>
    <w:rsid w:val="5CAF0737"/>
    <w:rsid w:val="5CBD18CF"/>
    <w:rsid w:val="5CCA2604"/>
    <w:rsid w:val="5CE67F54"/>
    <w:rsid w:val="5CF038D5"/>
    <w:rsid w:val="5D591E8A"/>
    <w:rsid w:val="5D6A293D"/>
    <w:rsid w:val="5DCB4CB7"/>
    <w:rsid w:val="5DCE7AAF"/>
    <w:rsid w:val="5DF7008F"/>
    <w:rsid w:val="5ED3692F"/>
    <w:rsid w:val="5EDE11EC"/>
    <w:rsid w:val="5EEB4B67"/>
    <w:rsid w:val="5F1E340B"/>
    <w:rsid w:val="5F2D4C8E"/>
    <w:rsid w:val="5FAD1269"/>
    <w:rsid w:val="60160276"/>
    <w:rsid w:val="605F212A"/>
    <w:rsid w:val="607410E4"/>
    <w:rsid w:val="609E1F6D"/>
    <w:rsid w:val="60AC0ED4"/>
    <w:rsid w:val="60BC71EC"/>
    <w:rsid w:val="60C048A1"/>
    <w:rsid w:val="60EC7E34"/>
    <w:rsid w:val="60F86588"/>
    <w:rsid w:val="610E751A"/>
    <w:rsid w:val="61415B38"/>
    <w:rsid w:val="614F7370"/>
    <w:rsid w:val="618566F8"/>
    <w:rsid w:val="618738C4"/>
    <w:rsid w:val="61C82A63"/>
    <w:rsid w:val="62100AA6"/>
    <w:rsid w:val="62104607"/>
    <w:rsid w:val="622B2155"/>
    <w:rsid w:val="624B45F7"/>
    <w:rsid w:val="625C1486"/>
    <w:rsid w:val="62697B8D"/>
    <w:rsid w:val="6298550B"/>
    <w:rsid w:val="63265688"/>
    <w:rsid w:val="63600723"/>
    <w:rsid w:val="63880307"/>
    <w:rsid w:val="63DE6B39"/>
    <w:rsid w:val="63FA2DDA"/>
    <w:rsid w:val="64B34271"/>
    <w:rsid w:val="64F44304"/>
    <w:rsid w:val="65016B06"/>
    <w:rsid w:val="650D729D"/>
    <w:rsid w:val="65121A2B"/>
    <w:rsid w:val="656F16E2"/>
    <w:rsid w:val="65957BD7"/>
    <w:rsid w:val="65A60AF6"/>
    <w:rsid w:val="65EB5501"/>
    <w:rsid w:val="663D4FD3"/>
    <w:rsid w:val="66557966"/>
    <w:rsid w:val="667D3E75"/>
    <w:rsid w:val="66AB08C9"/>
    <w:rsid w:val="66C23E0B"/>
    <w:rsid w:val="66DB2329"/>
    <w:rsid w:val="66E8264C"/>
    <w:rsid w:val="66F943E3"/>
    <w:rsid w:val="67072E0D"/>
    <w:rsid w:val="674C3BC5"/>
    <w:rsid w:val="67601F0E"/>
    <w:rsid w:val="678D2D62"/>
    <w:rsid w:val="682A3765"/>
    <w:rsid w:val="683A49A8"/>
    <w:rsid w:val="68D1095B"/>
    <w:rsid w:val="68E71296"/>
    <w:rsid w:val="690A7AD2"/>
    <w:rsid w:val="690D28C0"/>
    <w:rsid w:val="69251222"/>
    <w:rsid w:val="694F264B"/>
    <w:rsid w:val="69A23DFB"/>
    <w:rsid w:val="69B52732"/>
    <w:rsid w:val="69B779C6"/>
    <w:rsid w:val="6A3B7125"/>
    <w:rsid w:val="6A972817"/>
    <w:rsid w:val="6A9F32EC"/>
    <w:rsid w:val="6AA40DD9"/>
    <w:rsid w:val="6AFB0CCA"/>
    <w:rsid w:val="6AFF3BE2"/>
    <w:rsid w:val="6B471347"/>
    <w:rsid w:val="6B6C553C"/>
    <w:rsid w:val="6B73264D"/>
    <w:rsid w:val="6B7C42F5"/>
    <w:rsid w:val="6BA41BDE"/>
    <w:rsid w:val="6C3833F1"/>
    <w:rsid w:val="6C834371"/>
    <w:rsid w:val="6C9201A6"/>
    <w:rsid w:val="6CF70ABC"/>
    <w:rsid w:val="6D471048"/>
    <w:rsid w:val="6D866E65"/>
    <w:rsid w:val="6DA22F4F"/>
    <w:rsid w:val="6DBC6EBB"/>
    <w:rsid w:val="6DC621E8"/>
    <w:rsid w:val="6DCD14F3"/>
    <w:rsid w:val="6E0F67EA"/>
    <w:rsid w:val="6E1B7F7A"/>
    <w:rsid w:val="6E2D4605"/>
    <w:rsid w:val="6F1D0B38"/>
    <w:rsid w:val="6FA305E6"/>
    <w:rsid w:val="70AB251E"/>
    <w:rsid w:val="714C4166"/>
    <w:rsid w:val="7199060A"/>
    <w:rsid w:val="71D2623A"/>
    <w:rsid w:val="72006DC8"/>
    <w:rsid w:val="722C48C8"/>
    <w:rsid w:val="723C0D61"/>
    <w:rsid w:val="72401C71"/>
    <w:rsid w:val="72F40E3D"/>
    <w:rsid w:val="72FD1DA7"/>
    <w:rsid w:val="73145949"/>
    <w:rsid w:val="731E414C"/>
    <w:rsid w:val="735D1209"/>
    <w:rsid w:val="743D2446"/>
    <w:rsid w:val="74432154"/>
    <w:rsid w:val="74BB5770"/>
    <w:rsid w:val="74EC74B4"/>
    <w:rsid w:val="754C0E11"/>
    <w:rsid w:val="7553704A"/>
    <w:rsid w:val="758E1B3A"/>
    <w:rsid w:val="75A56C66"/>
    <w:rsid w:val="75D7104D"/>
    <w:rsid w:val="7623091E"/>
    <w:rsid w:val="76262427"/>
    <w:rsid w:val="764C7CDD"/>
    <w:rsid w:val="76581EE9"/>
    <w:rsid w:val="766775EF"/>
    <w:rsid w:val="769F04E1"/>
    <w:rsid w:val="76B67256"/>
    <w:rsid w:val="76CF297D"/>
    <w:rsid w:val="778778D9"/>
    <w:rsid w:val="779B0109"/>
    <w:rsid w:val="77A45084"/>
    <w:rsid w:val="77E27F43"/>
    <w:rsid w:val="77E73340"/>
    <w:rsid w:val="77FB4266"/>
    <w:rsid w:val="78126867"/>
    <w:rsid w:val="781D186D"/>
    <w:rsid w:val="78AA5D42"/>
    <w:rsid w:val="78D4668D"/>
    <w:rsid w:val="7904728E"/>
    <w:rsid w:val="793676C8"/>
    <w:rsid w:val="79597E75"/>
    <w:rsid w:val="79A924F5"/>
    <w:rsid w:val="7A28673C"/>
    <w:rsid w:val="7A9F2885"/>
    <w:rsid w:val="7AA00AB7"/>
    <w:rsid w:val="7AD04DEA"/>
    <w:rsid w:val="7B0535EE"/>
    <w:rsid w:val="7B0D7FA9"/>
    <w:rsid w:val="7B523073"/>
    <w:rsid w:val="7B616062"/>
    <w:rsid w:val="7B6A7BBD"/>
    <w:rsid w:val="7BCB5A12"/>
    <w:rsid w:val="7BF61FAB"/>
    <w:rsid w:val="7C8F6E89"/>
    <w:rsid w:val="7CAC40F2"/>
    <w:rsid w:val="7CC6656C"/>
    <w:rsid w:val="7CF000E5"/>
    <w:rsid w:val="7DB15DD1"/>
    <w:rsid w:val="7DBF6C53"/>
    <w:rsid w:val="7DF75E41"/>
    <w:rsid w:val="7DFD2B82"/>
    <w:rsid w:val="7E1F53D5"/>
    <w:rsid w:val="7E862E50"/>
    <w:rsid w:val="7E9C6106"/>
    <w:rsid w:val="7F5A4A05"/>
    <w:rsid w:val="7F5B676F"/>
    <w:rsid w:val="7F6F4D0F"/>
    <w:rsid w:val="7FA27E5F"/>
    <w:rsid w:val="7FC35A07"/>
    <w:rsid w:val="7FD30B0A"/>
    <w:rsid w:val="7FD85E6A"/>
    <w:rsid w:val="7FEF3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20"/>
      <w:jc w:val="both"/>
    </w:pPr>
    <w:rPr>
      <w:rFonts w:ascii="Times New Roman" w:hAnsi="Times New Roman" w:eastAsia="宋体" w:cs="Times New Roman"/>
      <w:szCs w:val="22"/>
      <w:lang w:val="en-US" w:eastAsia="zh-CN" w:bidi="ar-SA"/>
    </w:rPr>
  </w:style>
  <w:style w:type="paragraph" w:styleId="2">
    <w:name w:val="heading 1"/>
    <w:next w:val="1"/>
    <w:link w:val="20"/>
    <w:qFormat/>
    <w:uiPriority w:val="0"/>
    <w:pPr>
      <w:keepNext/>
      <w:keepLines/>
      <w:numPr>
        <w:ilvl w:val="0"/>
        <w:numId w:val="1"/>
      </w:numPr>
      <w:pBdr>
        <w:top w:val="single" w:color="auto" w:sz="12" w:space="3"/>
      </w:pBdr>
      <w:spacing w:before="240" w:after="180" w:line="276" w:lineRule="auto"/>
      <w:outlineLvl w:val="0"/>
    </w:pPr>
    <w:rPr>
      <w:rFonts w:ascii="Arial" w:hAnsi="Arial" w:eastAsia="宋体" w:cs="Times New Roman"/>
      <w:sz w:val="36"/>
      <w:szCs w:val="22"/>
      <w:lang w:val="en-GB" w:eastAsia="en-US" w:bidi="ar-SA"/>
    </w:rPr>
  </w:style>
  <w:style w:type="paragraph" w:styleId="3">
    <w:name w:val="heading 2"/>
    <w:basedOn w:val="2"/>
    <w:next w:val="1"/>
    <w:link w:val="21"/>
    <w:qFormat/>
    <w:uiPriority w:val="0"/>
    <w:pPr>
      <w:numPr>
        <w:ilvl w:val="1"/>
      </w:numPr>
      <w:pBdr>
        <w:top w:val="none" w:color="auto" w:sz="0" w:space="0"/>
      </w:pBdr>
      <w:spacing w:before="180"/>
      <w:outlineLvl w:val="1"/>
    </w:pPr>
    <w:rPr>
      <w:sz w:val="28"/>
    </w:rPr>
  </w:style>
  <w:style w:type="paragraph" w:styleId="4">
    <w:name w:val="heading 3"/>
    <w:basedOn w:val="3"/>
    <w:next w:val="1"/>
    <w:link w:val="35"/>
    <w:unhideWhenUsed/>
    <w:qFormat/>
    <w:uiPriority w:val="9"/>
    <w:pPr>
      <w:spacing w:before="120"/>
      <w:outlineLvl w:val="2"/>
    </w:pPr>
  </w:style>
  <w:style w:type="character" w:default="1" w:styleId="13">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37"/>
    <w:unhideWhenUsed/>
    <w:qFormat/>
    <w:uiPriority w:val="99"/>
    <w:pPr>
      <w:jc w:val="left"/>
    </w:pPr>
    <w:rPr>
      <w:b/>
      <w:bCs/>
    </w:rPr>
  </w:style>
  <w:style w:type="paragraph" w:styleId="6">
    <w:name w:val="annotation text"/>
    <w:basedOn w:val="1"/>
    <w:link w:val="36"/>
    <w:unhideWhenUsed/>
    <w:qFormat/>
    <w:uiPriority w:val="99"/>
  </w:style>
  <w:style w:type="paragraph" w:styleId="7">
    <w:name w:val="caption"/>
    <w:basedOn w:val="1"/>
    <w:next w:val="1"/>
    <w:qFormat/>
    <w:uiPriority w:val="0"/>
    <w:pPr>
      <w:adjustRightInd/>
      <w:spacing w:before="120"/>
    </w:pPr>
    <w:rPr>
      <w:b/>
      <w:szCs w:val="20"/>
      <w:lang w:val="en-GB" w:eastAsia="en-US"/>
    </w:rPr>
  </w:style>
  <w:style w:type="paragraph" w:styleId="8">
    <w:name w:val="Document Map"/>
    <w:basedOn w:val="1"/>
    <w:link w:val="25"/>
    <w:unhideWhenUsed/>
    <w:qFormat/>
    <w:uiPriority w:val="99"/>
    <w:rPr>
      <w:rFonts w:ascii="宋体"/>
      <w:sz w:val="18"/>
      <w:szCs w:val="18"/>
    </w:rPr>
  </w:style>
  <w:style w:type="paragraph" w:styleId="9">
    <w:name w:val="Balloon Text"/>
    <w:basedOn w:val="1"/>
    <w:link w:val="26"/>
    <w:unhideWhenUsed/>
    <w:qFormat/>
    <w:uiPriority w:val="99"/>
    <w:rPr>
      <w:sz w:val="18"/>
      <w:szCs w:val="18"/>
    </w:rPr>
  </w:style>
  <w:style w:type="paragraph" w:styleId="10">
    <w:name w:val="footer"/>
    <w:basedOn w:val="1"/>
    <w:link w:val="19"/>
    <w:unhideWhenUsed/>
    <w:qFormat/>
    <w:uiPriority w:val="0"/>
    <w:pPr>
      <w:tabs>
        <w:tab w:val="center" w:pos="4153"/>
        <w:tab w:val="right" w:pos="8306"/>
      </w:tabs>
      <w:snapToGrid w:val="0"/>
    </w:pPr>
    <w:rPr>
      <w:sz w:val="18"/>
      <w:szCs w:val="18"/>
    </w:rPr>
  </w:style>
  <w:style w:type="paragraph" w:styleId="11">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unhideWhenUsed/>
    <w:qFormat/>
    <w:uiPriority w:val="99"/>
    <w:pPr>
      <w:ind w:left="200" w:hanging="200" w:hangingChars="200"/>
      <w:contextualSpacing/>
    </w:pPr>
  </w:style>
  <w:style w:type="character" w:styleId="14">
    <w:name w:val="page number"/>
    <w:basedOn w:val="13"/>
    <w:qFormat/>
    <w:uiPriority w:val="0"/>
  </w:style>
  <w:style w:type="character" w:styleId="15">
    <w:name w:val="annotation reference"/>
    <w:qFormat/>
    <w:uiPriority w:val="0"/>
    <w:rPr>
      <w:sz w:val="16"/>
      <w:szCs w:val="16"/>
    </w:rPr>
  </w:style>
  <w:style w:type="table" w:styleId="17">
    <w:name w:val="Table Grid"/>
    <w:basedOn w:val="1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页眉 Char"/>
    <w:basedOn w:val="13"/>
    <w:link w:val="11"/>
    <w:semiHidden/>
    <w:qFormat/>
    <w:uiPriority w:val="99"/>
    <w:rPr>
      <w:sz w:val="18"/>
      <w:szCs w:val="18"/>
    </w:rPr>
  </w:style>
  <w:style w:type="character" w:customStyle="1" w:styleId="19">
    <w:name w:val="页脚 Char"/>
    <w:basedOn w:val="13"/>
    <w:link w:val="10"/>
    <w:semiHidden/>
    <w:qFormat/>
    <w:uiPriority w:val="99"/>
    <w:rPr>
      <w:sz w:val="18"/>
      <w:szCs w:val="18"/>
    </w:rPr>
  </w:style>
  <w:style w:type="character" w:customStyle="1" w:styleId="20">
    <w:name w:val="标题 1 Char"/>
    <w:basedOn w:val="13"/>
    <w:link w:val="2"/>
    <w:qFormat/>
    <w:uiPriority w:val="0"/>
    <w:rPr>
      <w:rFonts w:ascii="Arial" w:hAnsi="Arial" w:eastAsia="宋体" w:cs="Times New Roman"/>
      <w:kern w:val="0"/>
      <w:sz w:val="36"/>
      <w:lang w:val="en-GB" w:eastAsia="en-US"/>
    </w:rPr>
  </w:style>
  <w:style w:type="character" w:customStyle="1" w:styleId="21">
    <w:name w:val="标题 2 Char"/>
    <w:basedOn w:val="13"/>
    <w:link w:val="3"/>
    <w:qFormat/>
    <w:uiPriority w:val="0"/>
    <w:rPr>
      <w:rFonts w:ascii="Arial" w:hAnsi="Arial" w:eastAsia="宋体" w:cs="Times New Roman"/>
      <w:kern w:val="0"/>
      <w:sz w:val="28"/>
      <w:lang w:val="en-GB" w:eastAsia="en-US"/>
    </w:rPr>
  </w:style>
  <w:style w:type="paragraph" w:customStyle="1" w:styleId="22">
    <w:name w:val="B1"/>
    <w:basedOn w:val="12"/>
    <w:qFormat/>
    <w:uiPriority w:val="0"/>
    <w:pPr>
      <w:ind w:left="568" w:hanging="284" w:firstLineChars="0"/>
      <w:contextualSpacing w:val="0"/>
    </w:pPr>
  </w:style>
  <w:style w:type="paragraph" w:customStyle="1" w:styleId="23">
    <w:name w:val="EQ"/>
    <w:basedOn w:val="1"/>
    <w:next w:val="1"/>
    <w:qFormat/>
    <w:uiPriority w:val="0"/>
    <w:pPr>
      <w:keepLines/>
      <w:tabs>
        <w:tab w:val="center" w:pos="4536"/>
        <w:tab w:val="right" w:pos="9072"/>
      </w:tabs>
    </w:pPr>
  </w:style>
  <w:style w:type="paragraph" w:customStyle="1" w:styleId="24">
    <w:name w:val="列出段落1"/>
    <w:basedOn w:val="1"/>
    <w:unhideWhenUsed/>
    <w:qFormat/>
    <w:uiPriority w:val="99"/>
    <w:pPr>
      <w:ind w:firstLine="420" w:firstLineChars="200"/>
    </w:pPr>
  </w:style>
  <w:style w:type="character" w:customStyle="1" w:styleId="25">
    <w:name w:val="文档结构图 Char"/>
    <w:basedOn w:val="13"/>
    <w:link w:val="8"/>
    <w:semiHidden/>
    <w:qFormat/>
    <w:uiPriority w:val="99"/>
    <w:rPr>
      <w:rFonts w:ascii="宋体" w:hAnsi="Times New Roman" w:eastAsia="宋体" w:cs="Times New Roman"/>
      <w:kern w:val="0"/>
      <w:sz w:val="18"/>
      <w:szCs w:val="18"/>
    </w:rPr>
  </w:style>
  <w:style w:type="character" w:customStyle="1" w:styleId="26">
    <w:name w:val="批注框文本 Char"/>
    <w:basedOn w:val="13"/>
    <w:link w:val="9"/>
    <w:semiHidden/>
    <w:qFormat/>
    <w:uiPriority w:val="99"/>
    <w:rPr>
      <w:rFonts w:ascii="Times New Roman" w:hAnsi="Times New Roman" w:eastAsia="宋体" w:cs="Times New Roman"/>
      <w:kern w:val="0"/>
      <w:sz w:val="18"/>
      <w:szCs w:val="18"/>
    </w:rPr>
  </w:style>
  <w:style w:type="character" w:customStyle="1" w:styleId="27">
    <w:name w:val="占位符文本1"/>
    <w:basedOn w:val="13"/>
    <w:semiHidden/>
    <w:qFormat/>
    <w:uiPriority w:val="99"/>
    <w:rPr>
      <w:color w:val="808080"/>
    </w:rPr>
  </w:style>
  <w:style w:type="paragraph" w:customStyle="1" w:styleId="28">
    <w:name w:val="列出段落2"/>
    <w:basedOn w:val="1"/>
    <w:unhideWhenUsed/>
    <w:qFormat/>
    <w:uiPriority w:val="99"/>
    <w:pPr>
      <w:ind w:firstLine="420" w:firstLineChars="200"/>
    </w:pPr>
  </w:style>
  <w:style w:type="paragraph" w:customStyle="1" w:styleId="29">
    <w:name w:val="列出段落11"/>
    <w:basedOn w:val="1"/>
    <w:qFormat/>
    <w:uiPriority w:val="34"/>
    <w:pPr>
      <w:ind w:firstLine="420" w:firstLineChars="200"/>
    </w:pPr>
  </w:style>
  <w:style w:type="paragraph" w:customStyle="1" w:styleId="30">
    <w:name w:val="YJ--正文"/>
    <w:basedOn w:val="1"/>
    <w:qFormat/>
    <w:uiPriority w:val="0"/>
    <w:pPr>
      <w:spacing w:before="156" w:after="156"/>
      <w:ind w:firstLine="602" w:firstLineChars="200"/>
    </w:pPr>
    <w:rPr>
      <w:rFonts w:cs="宋体"/>
      <w:szCs w:val="20"/>
    </w:rPr>
  </w:style>
  <w:style w:type="paragraph" w:customStyle="1" w:styleId="31">
    <w:name w:val="列出段落3"/>
    <w:basedOn w:val="1"/>
    <w:qFormat/>
    <w:uiPriority w:val="34"/>
    <w:pPr>
      <w:ind w:left="840" w:leftChars="400"/>
    </w:pPr>
  </w:style>
  <w:style w:type="paragraph" w:customStyle="1" w:styleId="32">
    <w:name w:val="_Style 4"/>
    <w:basedOn w:val="1"/>
    <w:qFormat/>
    <w:uiPriority w:val="34"/>
    <w:pPr>
      <w:ind w:left="840" w:leftChars="400"/>
    </w:pPr>
  </w:style>
  <w:style w:type="paragraph" w:customStyle="1" w:styleId="33">
    <w:name w:val="List Paragraph1"/>
    <w:basedOn w:val="1"/>
    <w:qFormat/>
    <w:uiPriority w:val="0"/>
    <w:pPr>
      <w:adjustRightInd/>
      <w:spacing w:before="100" w:beforeAutospacing="1" w:after="100" w:afterAutospacing="1"/>
      <w:ind w:left="720"/>
      <w:contextualSpacing/>
    </w:pPr>
    <w:rPr>
      <w:sz w:val="24"/>
      <w:szCs w:val="24"/>
    </w:rPr>
  </w:style>
  <w:style w:type="character" w:customStyle="1" w:styleId="34">
    <w:name w:val="标题 3 Char"/>
    <w:qFormat/>
    <w:uiPriority w:val="0"/>
    <w:rPr>
      <w:sz w:val="28"/>
    </w:rPr>
  </w:style>
  <w:style w:type="character" w:customStyle="1" w:styleId="35">
    <w:name w:val="标题 3 Char1"/>
    <w:link w:val="4"/>
    <w:qFormat/>
    <w:uiPriority w:val="0"/>
    <w:rPr>
      <w:sz w:val="28"/>
    </w:rPr>
  </w:style>
  <w:style w:type="character" w:customStyle="1" w:styleId="36">
    <w:name w:val="批注文字 Char"/>
    <w:basedOn w:val="13"/>
    <w:link w:val="6"/>
    <w:qFormat/>
    <w:uiPriority w:val="99"/>
    <w:rPr>
      <w:rFonts w:eastAsia="宋体"/>
      <w:szCs w:val="22"/>
    </w:rPr>
  </w:style>
  <w:style w:type="character" w:customStyle="1" w:styleId="37">
    <w:name w:val="批注主题 Char"/>
    <w:basedOn w:val="36"/>
    <w:link w:val="5"/>
    <w:semiHidden/>
    <w:qFormat/>
    <w:uiPriority w:val="99"/>
    <w:rPr>
      <w:rFonts w:eastAsia="宋体"/>
      <w:b/>
      <w:bCs/>
      <w:szCs w:val="22"/>
    </w:rPr>
  </w:style>
  <w:style w:type="paragraph" w:styleId="3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2E341-613C-4DA5-B36E-8DE9F4463B1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865</Words>
  <Characters>4935</Characters>
  <Lines>41</Lines>
  <Paragraphs>11</Paragraphs>
  <TotalTime>4</TotalTime>
  <ScaleCrop>false</ScaleCrop>
  <LinksUpToDate>false</LinksUpToDate>
  <CharactersWithSpaces>5789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2019-02-15T19:31:00Z</dcterms:created>
  <dc:creator>ZTE</dc:creator>
  <cp:lastModifiedBy>ZTE</cp:lastModifiedBy>
  <dcterms:modified xsi:type="dcterms:W3CDTF">2019-02-16T02:09:15Z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